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Filed pursuant to Rule 424(b)(7)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333-216253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Atlantica Yield plc, the registrant under the Form F-3 shelf registration statement dated February 27, 2017, elected to defer payment of the fees of such registration statement pursuant to Rule 456(b) under the Securities Act of 1933.</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520" w:type="dxa"/>
            <w:vAlign w:val="bottom"/>
            <w:tcBorders>
              <w:top w:val="single" w:sz="8" w:color="auto"/>
              <w:bottom w:val="single" w:sz="8" w:color="auto"/>
              <w:right w:val="single" w:sz="8" w:color="auto"/>
            </w:tcBorders>
          </w:tcPr>
          <w:p>
            <w:pPr>
              <w:spacing w:after="0"/>
              <w:rPr>
                <w:sz w:val="3"/>
                <w:szCs w:val="3"/>
                <w:color w:val="auto"/>
              </w:rPr>
            </w:pPr>
          </w:p>
        </w:tc>
        <w:tc>
          <w:tcPr>
            <w:tcW w:w="1380" w:type="dxa"/>
            <w:vAlign w:val="bottom"/>
            <w:tcBorders>
              <w:top w:val="single" w:sz="8" w:color="auto"/>
              <w:bottom w:val="single" w:sz="8" w:color="auto"/>
              <w:right w:val="single" w:sz="8" w:color="auto"/>
            </w:tcBorders>
          </w:tcPr>
          <w:p>
            <w:pPr>
              <w:spacing w:after="0"/>
              <w:rPr>
                <w:sz w:val="3"/>
                <w:szCs w:val="3"/>
                <w:color w:val="auto"/>
              </w:rPr>
            </w:pPr>
          </w:p>
        </w:tc>
        <w:tc>
          <w:tcPr>
            <w:tcW w:w="2540" w:type="dxa"/>
            <w:vAlign w:val="bottom"/>
            <w:tcBorders>
              <w:top w:val="single" w:sz="8" w:color="auto"/>
              <w:bottom w:val="single" w:sz="8" w:color="auto"/>
              <w:right w:val="single" w:sz="8" w:color="auto"/>
            </w:tcBorders>
          </w:tcPr>
          <w:p>
            <w:pPr>
              <w:spacing w:after="0"/>
              <w:rPr>
                <w:sz w:val="3"/>
                <w:szCs w:val="3"/>
                <w:color w:val="auto"/>
              </w:rPr>
            </w:pPr>
          </w:p>
        </w:tc>
        <w:tc>
          <w:tcPr>
            <w:tcW w:w="2520" w:type="dxa"/>
            <w:vAlign w:val="bottom"/>
            <w:tcBorders>
              <w:top w:val="single" w:sz="8" w:color="auto"/>
              <w:bottom w:val="single" w:sz="8" w:color="auto"/>
              <w:right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r>
      <w:tr>
        <w:trPr>
          <w:trHeight w:val="191"/>
        </w:trPr>
        <w:tc>
          <w:tcPr>
            <w:tcW w:w="20" w:type="dxa"/>
            <w:vAlign w:val="bottom"/>
          </w:tcPr>
          <w:p>
            <w:pPr>
              <w:spacing w:after="0"/>
              <w:rPr>
                <w:sz w:val="16"/>
                <w:szCs w:val="16"/>
                <w:color w:val="auto"/>
              </w:rPr>
            </w:pPr>
          </w:p>
        </w:tc>
        <w:tc>
          <w:tcPr>
            <w:tcW w:w="2520" w:type="dxa"/>
            <w:vAlign w:val="bottom"/>
            <w:tcBorders>
              <w:right w:val="single" w:sz="8" w:color="auto"/>
            </w:tcBorders>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254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52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Proposed Maximum</w:t>
            </w:r>
          </w:p>
        </w:tc>
        <w:tc>
          <w:tcPr>
            <w:tcW w:w="24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 of</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Amount to be</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Aggregate Price per</w:t>
            </w: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Aggregate Offering</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91"/>
              </w:rPr>
              <w:t>Amount of</w:t>
            </w:r>
          </w:p>
        </w:tc>
      </w:tr>
      <w:tr>
        <w:trPr>
          <w:trHeight w:val="251"/>
        </w:trPr>
        <w:tc>
          <w:tcPr>
            <w:tcW w:w="20" w:type="dxa"/>
            <w:vAlign w:val="bottom"/>
          </w:tcPr>
          <w:p>
            <w:pPr>
              <w:spacing w:after="0"/>
              <w:rPr>
                <w:sz w:val="21"/>
                <w:szCs w:val="21"/>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securities to be registered</w:t>
            </w:r>
          </w:p>
        </w:tc>
        <w:tc>
          <w:tcPr>
            <w:tcW w:w="1380" w:type="dxa"/>
            <w:vAlign w:val="bottom"/>
            <w:tcBorders>
              <w:bottom w:val="single" w:sz="8" w:color="auto"/>
              <w:right w:val="single" w:sz="8" w:color="auto"/>
            </w:tcBorders>
          </w:tcPr>
          <w:p>
            <w:pPr>
              <w:jc w:val="center"/>
              <w:spacing w:after="0" w:line="245" w:lineRule="exact"/>
              <w:rPr>
                <w:sz w:val="20"/>
                <w:szCs w:val="20"/>
                <w:color w:val="auto"/>
              </w:rPr>
            </w:pPr>
            <w:r>
              <w:rPr>
                <w:rFonts w:ascii="Arial" w:cs="Arial" w:eastAsia="Arial" w:hAnsi="Arial"/>
                <w:sz w:val="17"/>
                <w:szCs w:val="17"/>
                <w:b w:val="1"/>
                <w:bCs w:val="1"/>
                <w:color w:val="auto"/>
                <w:w w:val="90"/>
              </w:rPr>
              <w:t>Registered</w:t>
            </w:r>
            <w:r>
              <w:rPr>
                <w:rFonts w:ascii="Arial" w:cs="Arial" w:eastAsia="Arial" w:hAnsi="Arial"/>
                <w:sz w:val="28"/>
                <w:szCs w:val="28"/>
                <w:b w:val="1"/>
                <w:bCs w:val="1"/>
                <w:color w:val="auto"/>
                <w:w w:val="90"/>
                <w:vertAlign w:val="superscript"/>
              </w:rPr>
              <w:t>(1)</w:t>
            </w:r>
          </w:p>
        </w:tc>
        <w:tc>
          <w:tcPr>
            <w:tcW w:w="2540" w:type="dxa"/>
            <w:vAlign w:val="bottom"/>
            <w:tcBorders>
              <w:bottom w:val="single" w:sz="8" w:color="auto"/>
              <w:right w:val="single" w:sz="8" w:color="auto"/>
            </w:tcBorders>
          </w:tcPr>
          <w:p>
            <w:pPr>
              <w:jc w:val="center"/>
              <w:spacing w:after="0" w:line="245" w:lineRule="exact"/>
              <w:rPr>
                <w:sz w:val="20"/>
                <w:szCs w:val="20"/>
                <w:color w:val="auto"/>
              </w:rPr>
            </w:pPr>
            <w:r>
              <w:rPr>
                <w:rFonts w:ascii="Arial" w:cs="Arial" w:eastAsia="Arial" w:hAnsi="Arial"/>
                <w:sz w:val="17"/>
                <w:szCs w:val="17"/>
                <w:b w:val="1"/>
                <w:bCs w:val="1"/>
                <w:color w:val="auto"/>
                <w:w w:val="91"/>
              </w:rPr>
              <w:t>Share</w:t>
            </w:r>
            <w:r>
              <w:rPr>
                <w:rFonts w:ascii="Arial" w:cs="Arial" w:eastAsia="Arial" w:hAnsi="Arial"/>
                <w:sz w:val="28"/>
                <w:szCs w:val="28"/>
                <w:b w:val="1"/>
                <w:bCs w:val="1"/>
                <w:color w:val="auto"/>
                <w:w w:val="91"/>
                <w:vertAlign w:val="superscript"/>
              </w:rPr>
              <w:t>(2)</w:t>
            </w:r>
          </w:p>
        </w:tc>
        <w:tc>
          <w:tcPr>
            <w:tcW w:w="2520" w:type="dxa"/>
            <w:vAlign w:val="bottom"/>
            <w:tcBorders>
              <w:bottom w:val="single" w:sz="8" w:color="auto"/>
              <w:right w:val="single" w:sz="8" w:color="auto"/>
            </w:tcBorders>
          </w:tcPr>
          <w:p>
            <w:pPr>
              <w:jc w:val="center"/>
              <w:spacing w:after="0" w:line="245" w:lineRule="exact"/>
              <w:rPr>
                <w:sz w:val="20"/>
                <w:szCs w:val="20"/>
                <w:color w:val="auto"/>
              </w:rPr>
            </w:pPr>
            <w:r>
              <w:rPr>
                <w:rFonts w:ascii="Arial" w:cs="Arial" w:eastAsia="Arial" w:hAnsi="Arial"/>
                <w:sz w:val="17"/>
                <w:szCs w:val="17"/>
                <w:b w:val="1"/>
                <w:bCs w:val="1"/>
                <w:color w:val="auto"/>
                <w:w w:val="89"/>
              </w:rPr>
              <w:t>Price</w:t>
            </w:r>
            <w:r>
              <w:rPr>
                <w:rFonts w:ascii="Arial" w:cs="Arial" w:eastAsia="Arial" w:hAnsi="Arial"/>
                <w:sz w:val="28"/>
                <w:szCs w:val="28"/>
                <w:b w:val="1"/>
                <w:bCs w:val="1"/>
                <w:color w:val="auto"/>
                <w:w w:val="89"/>
                <w:vertAlign w:val="superscript"/>
              </w:rPr>
              <w:t>(3)</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 Fee</w:t>
            </w:r>
          </w:p>
        </w:tc>
      </w:tr>
      <w:tr>
        <w:trPr>
          <w:trHeight w:val="202"/>
        </w:trPr>
        <w:tc>
          <w:tcPr>
            <w:tcW w:w="20" w:type="dxa"/>
            <w:vAlign w:val="bottom"/>
          </w:tcPr>
          <w:p>
            <w:pPr>
              <w:spacing w:after="0"/>
              <w:rPr>
                <w:sz w:val="17"/>
                <w:szCs w:val="17"/>
                <w:color w:val="auto"/>
              </w:rPr>
            </w:pPr>
          </w:p>
        </w:tc>
        <w:tc>
          <w:tcPr>
            <w:tcW w:w="252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8"/>
              </w:rPr>
              <w:t>Ordinary Shares, nominal value</w:t>
            </w:r>
          </w:p>
        </w:tc>
        <w:tc>
          <w:tcPr>
            <w:tcW w:w="1380" w:type="dxa"/>
            <w:vAlign w:val="bottom"/>
            <w:tcBorders>
              <w:right w:val="single" w:sz="8" w:color="auto"/>
            </w:tcBorders>
            <w:shd w:val="clear" w:color="auto" w:fill="CCEEFF"/>
          </w:tcPr>
          <w:p>
            <w:pPr>
              <w:spacing w:after="0"/>
              <w:rPr>
                <w:sz w:val="17"/>
                <w:szCs w:val="17"/>
                <w:color w:val="auto"/>
              </w:rPr>
            </w:pPr>
          </w:p>
        </w:tc>
        <w:tc>
          <w:tcPr>
            <w:tcW w:w="2540" w:type="dxa"/>
            <w:vAlign w:val="bottom"/>
            <w:tcBorders>
              <w:right w:val="single" w:sz="8" w:color="auto"/>
            </w:tcBorders>
            <w:shd w:val="clear" w:color="auto" w:fill="CCEEFF"/>
          </w:tcPr>
          <w:p>
            <w:pPr>
              <w:spacing w:after="0"/>
              <w:rPr>
                <w:sz w:val="17"/>
                <w:szCs w:val="17"/>
                <w:color w:val="auto"/>
              </w:rPr>
            </w:pPr>
          </w:p>
        </w:tc>
        <w:tc>
          <w:tcPr>
            <w:tcW w:w="2520" w:type="dxa"/>
            <w:vAlign w:val="bottom"/>
            <w:tcBorders>
              <w:right w:val="single" w:sz="8" w:color="auto"/>
            </w:tcBorders>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r>
      <w:tr>
        <w:trPr>
          <w:trHeight w:val="271"/>
        </w:trPr>
        <w:tc>
          <w:tcPr>
            <w:tcW w:w="20" w:type="dxa"/>
            <w:vAlign w:val="bottom"/>
          </w:tcPr>
          <w:p>
            <w:pPr>
              <w:spacing w:after="0"/>
              <w:rPr>
                <w:sz w:val="23"/>
                <w:szCs w:val="23"/>
                <w:color w:val="auto"/>
              </w:rPr>
            </w:pPr>
          </w:p>
        </w:tc>
        <w:tc>
          <w:tcPr>
            <w:tcW w:w="2520" w:type="dxa"/>
            <w:vAlign w:val="bottom"/>
            <w:tcBorders>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$0.10 per share</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41,530,843</w:t>
            </w:r>
          </w:p>
        </w:tc>
        <w:tc>
          <w:tcPr>
            <w:tcW w:w="2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$20.36</w:t>
            </w:r>
          </w:p>
        </w:tc>
        <w:tc>
          <w:tcPr>
            <w:tcW w:w="2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$845,567,963.48</w:t>
            </w:r>
          </w:p>
        </w:tc>
        <w:tc>
          <w:tcPr>
            <w:tcW w:w="2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$98,001.33</w:t>
            </w:r>
          </w:p>
        </w:tc>
      </w:tr>
    </w:tbl>
    <w:p>
      <w:pPr>
        <w:spacing w:after="0" w:line="229" w:lineRule="exact"/>
        <w:rPr>
          <w:sz w:val="24"/>
          <w:szCs w:val="24"/>
          <w:color w:val="auto"/>
        </w:rPr>
      </w:pPr>
    </w:p>
    <w:p>
      <w:pPr>
        <w:ind w:left="340" w:right="200" w:hanging="332"/>
        <w:spacing w:after="0" w:line="25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41,530,843 shares of Atlantica Yield plc beneficially owned by ACIL Luxco1 S.A. which may be offered from time to time by selling shareholders identified here or in a subsequently filed prospectus supplement. In accordance with Rule 416 promulgated under the Securities Act of 1933, this Registration Statement shall be deemed to cover any additional securities to be offered or issued from stock splits, stock dividends or similar transactions.</w:t>
      </w:r>
    </w:p>
    <w:p>
      <w:pPr>
        <w:spacing w:after="0" w:line="2" w:lineRule="exact"/>
        <w:rPr>
          <w:rFonts w:ascii="Arial" w:cs="Arial" w:eastAsia="Arial" w:hAnsi="Arial"/>
          <w:sz w:val="18"/>
          <w:szCs w:val="18"/>
          <w:color w:val="auto"/>
        </w:rPr>
      </w:pPr>
    </w:p>
    <w:p>
      <w:pPr>
        <w:ind w:left="340" w:right="8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determining the registration fee in accordance with Rule 457(r) and Rule 457(c) under the Securities Act. Pursuant to Rule 457(c), the proposed maximum offering price per ordinary share of the registrant is based on the average high and low price per ordinary share of the registrant on the NASDAQ Global Select Market on April 11, 2017.</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457(a)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154940</wp:posOffset>
            </wp:positionV>
            <wp:extent cx="2186940" cy="840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in England and Wales)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41,530,843 Ordinary Shares</w:t>
      </w:r>
    </w:p>
    <w:p>
      <w:pPr>
        <w:spacing w:after="0" w:line="252" w:lineRule="exact"/>
        <w:rPr>
          <w:sz w:val="20"/>
          <w:szCs w:val="20"/>
          <w:color w:val="auto"/>
        </w:rPr>
      </w:pPr>
    </w:p>
    <w:p>
      <w:pPr>
        <w:jc w:val="both"/>
        <w:ind w:firstLine="388"/>
        <w:spacing w:after="0" w:line="258"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February 27, 2017 (the “</w:t>
      </w:r>
      <w:r>
        <w:rPr>
          <w:rFonts w:ascii="Arial" w:cs="Arial" w:eastAsia="Arial" w:hAnsi="Arial"/>
          <w:sz w:val="18"/>
          <w:szCs w:val="18"/>
          <w:b w:val="1"/>
          <w:bCs w:val="1"/>
          <w:color w:val="auto"/>
        </w:rPr>
        <w:t>Prospectus</w:t>
      </w:r>
      <w:r>
        <w:rPr>
          <w:rFonts w:ascii="Arial" w:cs="Arial" w:eastAsia="Arial" w:hAnsi="Arial"/>
          <w:sz w:val="18"/>
          <w:szCs w:val="18"/>
          <w:color w:val="auto"/>
        </w:rPr>
        <w:t>”) covering the resale by selling shareholders of an aggregate amount of up to 41,530,843 ordinary shares, nominal value of $0.10 per share, of Atlantica Yield plc, or Atlantica Yield, held by ACIL Luxco1 S.A, or Luxco 1, which may be offered and sold by selling shareholders identified herein or in a subsequently filed prospectus supplement. This prospectus supplement is not complete without, and may not be utilized except in connection with, the Prospectus, including any amendments or supplements thereto.</w:t>
      </w:r>
    </w:p>
    <w:p>
      <w:pPr>
        <w:spacing w:after="0" w:line="188"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Our ordinary shares are listed on the NASDAQ Global Market under the symbol “ABY”. On April 11, 2017, the last reported sales price of our ordinary shares on the NASDAQ Global Market was $20.53 per share.</w:t>
      </w:r>
    </w:p>
    <w:p>
      <w:pPr>
        <w:spacing w:after="0" w:line="166" w:lineRule="exact"/>
        <w:rPr>
          <w:sz w:val="20"/>
          <w:szCs w:val="20"/>
          <w:color w:val="auto"/>
        </w:rPr>
      </w:pPr>
    </w:p>
    <w:p>
      <w:pPr>
        <w:jc w:val="both"/>
        <w:ind w:firstLine="401"/>
        <w:spacing w:after="0" w:line="282" w:lineRule="auto"/>
        <w:rPr>
          <w:sz w:val="20"/>
          <w:szCs w:val="20"/>
          <w:color w:val="auto"/>
        </w:rPr>
      </w:pPr>
      <w:r>
        <w:rPr>
          <w:rFonts w:ascii="Arial" w:cs="Arial" w:eastAsia="Arial" w:hAnsi="Arial"/>
          <w:sz w:val="18"/>
          <w:szCs w:val="18"/>
          <w:b w:val="1"/>
          <w:bCs w:val="1"/>
          <w:color w:val="auto"/>
        </w:rPr>
        <w:t>Investing in our ordinary shares involves certain risks. See “Risk Factors” beginning on page 10 of the Prospectus before you make your investment decision and in our reports filed from time to time with the Securities and Exchange Commission.</w:t>
      </w:r>
    </w:p>
    <w:p>
      <w:pPr>
        <w:spacing w:after="0" w:line="166" w:lineRule="exact"/>
        <w:rPr>
          <w:sz w:val="20"/>
          <w:szCs w:val="20"/>
          <w:color w:val="auto"/>
        </w:rPr>
      </w:pPr>
    </w:p>
    <w:p>
      <w:pPr>
        <w:jc w:val="both"/>
        <w:ind w:firstLine="388"/>
        <w:spacing w:after="0" w:line="277" w:lineRule="auto"/>
        <w:rPr>
          <w:sz w:val="20"/>
          <w:szCs w:val="20"/>
          <w:color w:val="auto"/>
        </w:rPr>
      </w:pPr>
      <w:r>
        <w:rPr>
          <w:rFonts w:ascii="Arial" w:cs="Arial" w:eastAsia="Arial" w:hAnsi="Arial"/>
          <w:sz w:val="18"/>
          <w:szCs w:val="18"/>
          <w:color w:val="auto"/>
        </w:rPr>
        <w:t>You should carefully read this prospectus supplement and the Prospectus, together with the documents we incorporate by reference, before you invest in our ordinary shares.</w:t>
      </w:r>
    </w:p>
    <w:p>
      <w:pPr>
        <w:spacing w:after="0" w:line="166" w:lineRule="exact"/>
        <w:rPr>
          <w:sz w:val="20"/>
          <w:szCs w:val="20"/>
          <w:color w:val="auto"/>
        </w:rPr>
      </w:pPr>
    </w:p>
    <w:p>
      <w:pPr>
        <w:jc w:val="both"/>
        <w:ind w:firstLine="401"/>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or other regulatory body has approved or disapproved of these securities or determined if this prospectus supplement is truthful or complete. Any representation to the contrary is a criminal offense.</w:t>
      </w:r>
    </w:p>
    <w:p>
      <w:pPr>
        <w:spacing w:after="0" w:line="12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Prospectus Supplement dated April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01"/>
        <w:spacing w:after="0" w:line="308" w:lineRule="auto"/>
        <w:rPr>
          <w:sz w:val="20"/>
          <w:szCs w:val="20"/>
          <w:color w:val="auto"/>
        </w:rPr>
      </w:pPr>
      <w:r>
        <w:rPr>
          <w:rFonts w:ascii="Arial" w:cs="Arial" w:eastAsia="Arial" w:hAnsi="Arial"/>
          <w:sz w:val="17"/>
          <w:szCs w:val="17"/>
          <w:color w:val="auto"/>
        </w:rPr>
        <w:t>This prospectus supplement is being filed to amend and supplement the information that appears under the caption “Selling Shareholders” in the Prospectus and sets out a schedule of fees. Capitalized terms that are not defined in this prospectus supplement are defined in the Prospectus.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ind w:firstLine="388"/>
        <w:spacing w:after="0" w:line="273" w:lineRule="auto"/>
        <w:rPr>
          <w:sz w:val="20"/>
          <w:szCs w:val="20"/>
          <w:color w:val="auto"/>
        </w:rPr>
      </w:pPr>
      <w:r>
        <w:rPr>
          <w:rFonts w:ascii="Arial" w:cs="Arial" w:eastAsia="Arial" w:hAnsi="Arial"/>
          <w:sz w:val="17"/>
          <w:szCs w:val="17"/>
          <w:color w:val="auto"/>
        </w:rPr>
        <w:t>We are amending the Selling Shareholder table in the Prospectus to include the selling shareholders listed below. As of the date of this prospectus supplement, the lenders and noteholders do not beneficially own any shares of Atlantica Yield. On March 28, 2017, Abengoa S.A. entered into a restructuring and lending arrangement with, among others, GLAS Trust Corporation Limited, or the Security Agent</w:t>
      </w:r>
      <w:r>
        <w:rPr>
          <w:rFonts w:ascii="Arial" w:cs="Arial" w:eastAsia="Arial" w:hAnsi="Arial"/>
          <w:sz w:val="17"/>
          <w:szCs w:val="17"/>
          <w:b w:val="1"/>
          <w:bCs w:val="1"/>
          <w:color w:val="auto"/>
        </w:rPr>
        <w:t>,</w:t>
      </w:r>
      <w:r>
        <w:rPr>
          <w:rFonts w:ascii="Arial" w:cs="Arial" w:eastAsia="Arial" w:hAnsi="Arial"/>
          <w:sz w:val="17"/>
          <w:szCs w:val="17"/>
          <w:color w:val="auto"/>
        </w:rPr>
        <w:t xml:space="preserve"> acting for certain lenders and noteholders, under which Abengoa S.A. or its subsidiaries were required to enter into related security documents, or the New Money Documents, pledging their shares of Atlantica Yield. Pursuant to that arrangement, Luxco 1 holds 41,530,843 ordinary shares, or the Pledged Shares, in favor of lenders and noteholders as security for Abengoa’s and its subsidiaries’ obligations under the New Money Documents.</w:t>
      </w:r>
    </w:p>
    <w:p>
      <w:pPr>
        <w:spacing w:after="0" w:line="178" w:lineRule="exact"/>
        <w:rPr>
          <w:sz w:val="20"/>
          <w:szCs w:val="20"/>
          <w:color w:val="auto"/>
        </w:rPr>
      </w:pPr>
    </w:p>
    <w:p>
      <w:pPr>
        <w:jc w:val="both"/>
        <w:ind w:firstLine="388"/>
        <w:spacing w:after="0" w:line="290" w:lineRule="auto"/>
        <w:rPr>
          <w:sz w:val="20"/>
          <w:szCs w:val="20"/>
          <w:color w:val="auto"/>
        </w:rPr>
      </w:pPr>
      <w:r>
        <w:rPr>
          <w:rFonts w:ascii="Arial" w:cs="Arial" w:eastAsia="Arial" w:hAnsi="Arial"/>
          <w:sz w:val="16"/>
          <w:szCs w:val="16"/>
          <w:color w:val="auto"/>
        </w:rPr>
        <w:t>Pursuant to the terms of the New Money Documents, if an event of default occurs, the lenders and noteholders may, amongst other things, elect to instruct the Security Agent to enforce the security over the Pledged Shares. Pursuant to an enforcement of the security, each of the selling shareholders listed in the table below may offer and/or sell any or all of the Pledged Shares owned by them or on their behalf or to which they are otherwise entitled, and/or the Security Agent may, to the extent instructed by a selling shareholder listed in the table below or otherwise in accordance with the New Money Documents, offer and/or sell any or all of the Pledged Shares owned by or on behalf of such selling shareholder or to which such selling shareholder is entitled on behalf of such selling shareholder pursuant to this prospectus supplement and the Prospectus. In addition, if any selling shareholder does not provide instructions to the Security Agent within the applicable time frame under the New Money Documents, the Security Agent may offer and sell the Pledged Shares to which such selling shareholder is entitled on behalf of such selling shareholder pursuant to this prospectus supplement and the Prospectus.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 of</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Ordinary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Shares</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Beneficially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Owned Prior to</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44"/>
        </w:trPr>
        <w:tc>
          <w:tcPr>
            <w:tcW w:w="2540" w:type="dxa"/>
            <w:vAlign w:val="bottom"/>
            <w:gridSpan w:val="2"/>
          </w:tcPr>
          <w:p>
            <w:pPr>
              <w:ind w:left="240"/>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280" w:type="dxa"/>
            <w:vAlign w:val="bottom"/>
            <w:gridSpan w:val="3"/>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Offered</w:t>
            </w:r>
          </w:p>
        </w:tc>
        <w:tc>
          <w:tcPr>
            <w:tcW w:w="2160" w:type="dxa"/>
            <w:vAlign w:val="bottom"/>
            <w:gridSpan w:val="2"/>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2280" w:type="dxa"/>
            <w:vAlign w:val="bottom"/>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27"/>
        </w:trPr>
        <w:tc>
          <w:tcPr>
            <w:tcW w:w="240" w:type="dxa"/>
            <w:vAlign w:val="bottom"/>
          </w:tcPr>
          <w:p>
            <w:pPr>
              <w:spacing w:after="0"/>
              <w:rPr>
                <w:sz w:val="2"/>
                <w:szCs w:val="2"/>
                <w:color w:val="auto"/>
              </w:rPr>
            </w:pPr>
          </w:p>
        </w:tc>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683 Capital Partners LP</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461,379</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461,379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Ace Global, S.I.C.A.V., 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Aegon Custody B.V.</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50,863</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50,863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Aileen Torre</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5,451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Alberto Campanini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82"/>
        </w:trPr>
        <w:tc>
          <w:tcPr>
            <w:tcW w:w="2540" w:type="dxa"/>
            <w:vAlign w:val="bottom"/>
            <w:gridSpan w:val="2"/>
          </w:tcPr>
          <w:p>
            <w:pPr>
              <w:ind w:left="240"/>
              <w:spacing w:after="0"/>
              <w:rPr>
                <w:sz w:val="20"/>
                <w:szCs w:val="20"/>
                <w:color w:val="auto"/>
              </w:rPr>
            </w:pPr>
            <w:r>
              <w:rPr>
                <w:rFonts w:ascii="Arial" w:cs="Arial" w:eastAsia="Arial" w:hAnsi="Arial"/>
                <w:sz w:val="18"/>
                <w:szCs w:val="18"/>
                <w:color w:val="auto"/>
                <w:w w:val="92"/>
              </w:rPr>
              <w:t xml:space="preserve">Aldwych Investors II S.a r.l. </w:t>
            </w:r>
            <w:r>
              <w:rPr>
                <w:rFonts w:ascii="Arial" w:cs="Arial" w:eastAsia="Arial" w:hAnsi="Arial"/>
                <w:sz w:val="30"/>
                <w:szCs w:val="30"/>
                <w:color w:val="auto"/>
                <w:w w:val="92"/>
                <w:vertAlign w:val="superscript"/>
              </w:rPr>
              <w:t>(5)</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502,507</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502,507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28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Alejandro Aguilar Caba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Alejandro Zbrasky</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Alessandro Roca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Alfredo López Sancho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8,501</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8,501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Alipio Tome Pinto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Allan Odgaard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Almu Valores SICAV</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Amadeo Hernández Bueno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Amauri Martins Oliveira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540" w:type="dxa"/>
            <w:vAlign w:val="bottom"/>
            <w:gridSpan w:val="2"/>
          </w:tcPr>
          <w:p>
            <w:pPr>
              <w:ind w:left="240"/>
              <w:spacing w:after="0"/>
              <w:rPr>
                <w:sz w:val="20"/>
                <w:szCs w:val="20"/>
                <w:color w:val="auto"/>
              </w:rPr>
            </w:pPr>
            <w:r>
              <w:rPr>
                <w:rFonts w:ascii="Arial" w:cs="Arial" w:eastAsia="Arial" w:hAnsi="Arial"/>
                <w:sz w:val="18"/>
                <w:szCs w:val="18"/>
                <w:color w:val="auto"/>
              </w:rPr>
              <w:t>Amelio Ghiori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55"/>
        </w:trPr>
        <w:tc>
          <w:tcPr>
            <w:tcW w:w="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800"/>
              <w:spacing w:after="0"/>
              <w:rPr>
                <w:sz w:val="20"/>
                <w:szCs w:val="20"/>
                <w:color w:val="auto"/>
              </w:rPr>
            </w:pPr>
            <w:r>
              <w:rPr>
                <w:rFonts w:ascii="Arial" w:cs="Arial" w:eastAsia="Arial" w:hAnsi="Arial"/>
                <w:sz w:val="14"/>
                <w:szCs w:val="14"/>
                <w:color w:val="auto"/>
              </w:rPr>
              <w:t>S-2</w:t>
            </w:r>
          </w:p>
        </w:tc>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160" w:type="dxa"/>
            <w:vAlign w:val="bottom"/>
            <w:gridSpan w:val="2"/>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Ana Rita Pereira Salazar</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Sampaio</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Ana Rossello Busquet</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Andrea Käser-Pilling</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Andreas Jakob Dimmler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Angelo Cesana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6,007</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Anna Guglielmetti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6"/>
              </w:rPr>
              <w:t>Antonio Girón Ares and Alicia</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Diez Arocena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Antonio Manuel De Oliveira</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Brito</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8"/>
              </w:rPr>
              <w:t>António Mário Castelobranco</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Corrêa de Aguiar</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Antonio Ramirez Carrasco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0"/>
              </w:rPr>
              <w:t>Aplicaciones de Servei Monsan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ApS af 8.10.1976</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Arepo Fiduciaria SRL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7,912</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4"/>
              </w:rPr>
              <w:t>Artur José Figueiredo Mariano</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Alves</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Arturo Moreno Garceran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Arvo Investment Holdings</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2,466,421</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S.A.R.L.</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Athanasios Athanasakis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6"/>
              </w:rPr>
              <w:t>Auriga Global Investors, S.V.,</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6,190</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Baloise Life (Liechtenstein)</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5,357</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AG</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Baloise Vie Luxembourg 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Banca di San Marino S.p.A.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582"/>
        </w:trPr>
        <w:tc>
          <w:tcPr>
            <w:tcW w:w="2300" w:type="dxa"/>
            <w:vAlign w:val="bottom"/>
          </w:tcPr>
          <w:p>
            <w:pPr>
              <w:spacing w:after="0"/>
              <w:rPr>
                <w:sz w:val="20"/>
                <w:szCs w:val="20"/>
                <w:color w:val="auto"/>
              </w:rPr>
            </w:pPr>
            <w:r>
              <w:rPr>
                <w:rFonts w:ascii="Arial" w:cs="Arial" w:eastAsia="Arial" w:hAnsi="Arial"/>
                <w:sz w:val="18"/>
                <w:szCs w:val="18"/>
                <w:color w:val="auto"/>
              </w:rPr>
              <w:t xml:space="preserve">Banco Finantia, S.A. </w:t>
            </w:r>
            <w:r>
              <w:rPr>
                <w:rFonts w:ascii="Arial" w:cs="Arial" w:eastAsia="Arial" w:hAnsi="Arial"/>
                <w:sz w:val="30"/>
                <w:szCs w:val="30"/>
                <w:color w:val="auto"/>
                <w:vertAlign w:val="superscript"/>
              </w:rPr>
              <w:t>(6)</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47,081</w:t>
            </w: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0"/>
                <w:szCs w:val="20"/>
                <w:color w:val="auto"/>
              </w:rPr>
            </w:pPr>
            <w:r>
              <w:rPr>
                <w:rFonts w:ascii="Arial" w:cs="Arial" w:eastAsia="Arial" w:hAnsi="Arial"/>
                <w:sz w:val="18"/>
                <w:szCs w:val="18"/>
                <w:color w:val="auto"/>
              </w:rPr>
              <w:t>Bankinter, 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68,357</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Banor SIM SpA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Banque Pictet &amp; Cie 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44,816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Beatriz Mateos Torres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Benito Ambrosio Bermejo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3,575</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Bergot Agrocosta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Bertrand Kan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Bilbao Equity SICAV 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6,007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1,551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7,912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2,466,421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6,190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47,081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68,357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3,575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68" w:orient="portrait"/>
          <w:cols w:equalWidth="0" w:num="2">
            <w:col w:w="4460" w:space="120"/>
            <w:col w:w="6600"/>
          </w:cols>
          <w:pgMar w:left="480" w:top="121" w:right="239" w:bottom="0"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S-3</w:t>
      </w:r>
    </w:p>
    <w:p>
      <w:pPr>
        <w:sectPr>
          <w:pgSz w:w="11900" w:h="16868" w:orient="portrait"/>
          <w:cols w:equalWidth="0" w:num="1">
            <w:col w:w="11180"/>
          </w:cols>
          <w:pgMar w:left="480" w:top="121" w:right="239" w:bottom="0" w:gutter="0" w:footer="0" w:header="0"/>
          <w:type w:val="continuous"/>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Bjarne Frank Nielsen</w:t>
            </w: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Blanka Bartova</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4"/>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BlueMountain Guadalupe Peak</w:t>
            </w:r>
          </w:p>
        </w:tc>
        <w:tc>
          <w:tcPr>
            <w:tcW w:w="2040" w:type="dxa"/>
            <w:vAlign w:val="bottom"/>
          </w:tcPr>
          <w:p>
            <w:pPr>
              <w:spacing w:after="0"/>
              <w:rPr>
                <w:sz w:val="20"/>
                <w:szCs w:val="20"/>
                <w:color w:val="auto"/>
              </w:rPr>
            </w:pPr>
            <w:r>
              <w:rPr>
                <w:rFonts w:ascii="Arial" w:cs="Arial" w:eastAsia="Arial" w:hAnsi="Arial"/>
                <w:sz w:val="18"/>
                <w:szCs w:val="18"/>
                <w:color w:val="auto"/>
              </w:rPr>
              <w:t>11,376</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Fund L.P.</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2420" w:type="dxa"/>
            <w:vAlign w:val="bottom"/>
            <w:gridSpan w:val="2"/>
          </w:tcPr>
          <w:p>
            <w:pPr>
              <w:spacing w:after="0"/>
              <w:rPr>
                <w:sz w:val="20"/>
                <w:szCs w:val="20"/>
                <w:color w:val="auto"/>
              </w:rPr>
            </w:pPr>
            <w:r>
              <w:rPr>
                <w:rFonts w:ascii="Arial" w:cs="Arial" w:eastAsia="Arial" w:hAnsi="Arial"/>
                <w:sz w:val="18"/>
                <w:szCs w:val="18"/>
                <w:color w:val="auto"/>
              </w:rPr>
              <w:t>BMFV European Distressed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DAC</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BMLO European Distressed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24,524</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DAC</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BMCA European Distressed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501,336</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DAC</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BMMF European Distressed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57,564</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DAC</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Bolsa Integral SICAV</w:t>
            </w:r>
          </w:p>
        </w:tc>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Bondpartners S.A.</w:t>
            </w:r>
          </w:p>
        </w:tc>
        <w:tc>
          <w:tcPr>
            <w:tcW w:w="2040" w:type="dxa"/>
            <w:vAlign w:val="bottom"/>
          </w:tcPr>
          <w:p>
            <w:pPr>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BPI 23 S.a.r.l.</w:t>
            </w:r>
          </w:p>
        </w:tc>
        <w:tc>
          <w:tcPr>
            <w:tcW w:w="2040" w:type="dxa"/>
            <w:vAlign w:val="bottom"/>
          </w:tcPr>
          <w:p>
            <w:pPr>
              <w:spacing w:after="0"/>
              <w:rPr>
                <w:sz w:val="20"/>
                <w:szCs w:val="20"/>
                <w:color w:val="auto"/>
              </w:rPr>
            </w:pPr>
            <w:r>
              <w:rPr>
                <w:rFonts w:ascii="Arial" w:cs="Arial" w:eastAsia="Arial" w:hAnsi="Arial"/>
                <w:sz w:val="18"/>
                <w:szCs w:val="18"/>
                <w:color w:val="auto"/>
              </w:rPr>
              <w:t>2,062,474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Cabildo Catedral de Cordoba</w:t>
            </w:r>
          </w:p>
        </w:tc>
        <w:tc>
          <w:tcPr>
            <w:tcW w:w="2040" w:type="dxa"/>
            <w:vAlign w:val="bottom"/>
          </w:tcPr>
          <w:p>
            <w:pPr>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582"/>
        </w:trPr>
        <w:tc>
          <w:tcPr>
            <w:tcW w:w="2420" w:type="dxa"/>
            <w:vAlign w:val="bottom"/>
            <w:gridSpan w:val="2"/>
          </w:tcPr>
          <w:p>
            <w:pPr>
              <w:spacing w:after="0"/>
              <w:rPr>
                <w:sz w:val="20"/>
                <w:szCs w:val="20"/>
                <w:color w:val="auto"/>
              </w:rPr>
            </w:pPr>
            <w:r>
              <w:rPr>
                <w:rFonts w:ascii="Arial" w:cs="Arial" w:eastAsia="Arial" w:hAnsi="Arial"/>
                <w:sz w:val="18"/>
                <w:szCs w:val="18"/>
                <w:color w:val="auto"/>
              </w:rPr>
              <w:t>Caixabank, S.A.</w:t>
            </w:r>
            <w:r>
              <w:rPr>
                <w:rFonts w:ascii="Arial" w:cs="Arial" w:eastAsia="Arial" w:hAnsi="Arial"/>
                <w:sz w:val="30"/>
                <w:szCs w:val="30"/>
                <w:color w:val="auto"/>
                <w:vertAlign w:val="superscript"/>
              </w:rPr>
              <w:t>(7)</w:t>
            </w:r>
          </w:p>
        </w:tc>
        <w:tc>
          <w:tcPr>
            <w:tcW w:w="2040" w:type="dxa"/>
            <w:vAlign w:val="bottom"/>
          </w:tcPr>
          <w:p>
            <w:pPr>
              <w:spacing w:after="0"/>
              <w:rPr>
                <w:sz w:val="20"/>
                <w:szCs w:val="20"/>
                <w:color w:val="auto"/>
              </w:rPr>
            </w:pPr>
            <w:r>
              <w:rPr>
                <w:rFonts w:ascii="Arial" w:cs="Arial" w:eastAsia="Arial" w:hAnsi="Arial"/>
                <w:sz w:val="18"/>
                <w:szCs w:val="18"/>
                <w:color w:val="auto"/>
              </w:rPr>
              <w:t>1,725,446</w:t>
            </w:r>
          </w:p>
        </w:tc>
        <w:tc>
          <w:tcPr>
            <w:tcW w:w="0" w:type="dxa"/>
            <w:vAlign w:val="bottom"/>
          </w:tcPr>
          <w:p>
            <w:pPr>
              <w:spacing w:after="0"/>
              <w:rPr>
                <w:sz w:val="1"/>
                <w:szCs w:val="1"/>
                <w:color w:val="auto"/>
              </w:rPr>
            </w:pPr>
          </w:p>
        </w:tc>
      </w:tr>
      <w:tr>
        <w:trPr>
          <w:trHeight w:val="268"/>
        </w:trPr>
        <w:tc>
          <w:tcPr>
            <w:tcW w:w="2420" w:type="dxa"/>
            <w:vAlign w:val="bottom"/>
            <w:gridSpan w:val="2"/>
          </w:tcPr>
          <w:p>
            <w:pPr>
              <w:spacing w:after="0"/>
              <w:rPr>
                <w:sz w:val="20"/>
                <w:szCs w:val="20"/>
                <w:color w:val="auto"/>
              </w:rPr>
            </w:pPr>
            <w:r>
              <w:rPr>
                <w:rFonts w:ascii="Arial" w:cs="Arial" w:eastAsia="Arial" w:hAnsi="Arial"/>
                <w:sz w:val="18"/>
                <w:szCs w:val="18"/>
                <w:color w:val="auto"/>
              </w:rPr>
              <w:t>Caja de Burgos Fundación</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Bancaria</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Calem SA</w:t>
            </w:r>
          </w:p>
        </w:tc>
        <w:tc>
          <w:tcPr>
            <w:tcW w:w="2040" w:type="dxa"/>
            <w:vAlign w:val="bottom"/>
          </w:tcPr>
          <w:p>
            <w:pPr>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Canciano López de Miguel</w:t>
            </w:r>
          </w:p>
        </w:tc>
        <w:tc>
          <w:tcPr>
            <w:tcW w:w="2040" w:type="dxa"/>
            <w:vAlign w:val="bottom"/>
          </w:tcPr>
          <w:p>
            <w:pPr>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459"/>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Canyon Capital Finance S.a.r.l.</w:t>
            </w:r>
          </w:p>
        </w:tc>
        <w:tc>
          <w:tcPr>
            <w:tcW w:w="2040" w:type="dxa"/>
            <w:vAlign w:val="bottom"/>
          </w:tcPr>
          <w:p>
            <w:pPr>
              <w:spacing w:after="0"/>
              <w:rPr>
                <w:sz w:val="20"/>
                <w:szCs w:val="20"/>
                <w:color w:val="auto"/>
              </w:rPr>
            </w:pPr>
            <w:r>
              <w:rPr>
                <w:rFonts w:ascii="Arial" w:cs="Arial" w:eastAsia="Arial" w:hAnsi="Arial"/>
                <w:sz w:val="18"/>
                <w:szCs w:val="18"/>
                <w:color w:val="auto"/>
              </w:rPr>
              <w:t>2,062,474</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2420" w:type="dxa"/>
            <w:vAlign w:val="bottom"/>
            <w:gridSpan w:val="2"/>
          </w:tcPr>
          <w:p>
            <w:pPr>
              <w:spacing w:after="0"/>
              <w:rPr>
                <w:sz w:val="20"/>
                <w:szCs w:val="20"/>
                <w:color w:val="auto"/>
              </w:rPr>
            </w:pPr>
            <w:r>
              <w:rPr>
                <w:rFonts w:ascii="Arial" w:cs="Arial" w:eastAsia="Arial" w:hAnsi="Arial"/>
                <w:sz w:val="18"/>
                <w:szCs w:val="18"/>
                <w:color w:val="auto"/>
              </w:rPr>
              <w:t>Carlo Stradi</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Carlos Borrero Acevedo</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Carlos Garcia Saiz</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Carlos Manuel Sanches Garcia</w:t>
            </w:r>
          </w:p>
        </w:tc>
        <w:tc>
          <w:tcPr>
            <w:tcW w:w="2040" w:type="dxa"/>
            <w:vAlign w:val="bottom"/>
          </w:tcPr>
          <w:p>
            <w:pPr>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CCP Credit Acquisition</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1,031,237</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Holdings Luxco, S.à r.l.</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Celamin 12:S.L.</w:t>
            </w:r>
          </w:p>
        </w:tc>
        <w:tc>
          <w:tcPr>
            <w:tcW w:w="2040" w:type="dxa"/>
            <w:vAlign w:val="bottom"/>
          </w:tcPr>
          <w:p>
            <w:pPr>
              <w:spacing w:after="0"/>
              <w:rPr>
                <w:sz w:val="20"/>
                <w:szCs w:val="20"/>
                <w:color w:val="auto"/>
              </w:rPr>
            </w:pPr>
            <w:r>
              <w:rPr>
                <w:rFonts w:ascii="Arial" w:cs="Arial" w:eastAsia="Arial" w:hAnsi="Arial"/>
                <w:sz w:val="18"/>
                <w:szCs w:val="18"/>
                <w:color w:val="auto"/>
              </w:rPr>
              <w:t>21,470</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w w:val="98"/>
              </w:rPr>
              <w:t>Celso Emilio Fernandez Perez</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Cesar Bachiller Solano</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Charlotte Stegmann</w:t>
            </w:r>
          </w:p>
        </w:tc>
        <w:tc>
          <w:tcPr>
            <w:tcW w:w="2040" w:type="dxa"/>
            <w:vAlign w:val="bottom"/>
          </w:tcPr>
          <w:p>
            <w:pPr>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Christian Seidelin</w:t>
            </w:r>
          </w:p>
        </w:tc>
        <w:tc>
          <w:tcPr>
            <w:tcW w:w="2040" w:type="dxa"/>
            <w:vAlign w:val="bottom"/>
          </w:tcPr>
          <w:p>
            <w:pPr>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582"/>
        </w:trPr>
        <w:tc>
          <w:tcPr>
            <w:tcW w:w="2420" w:type="dxa"/>
            <w:vAlign w:val="bottom"/>
            <w:gridSpan w:val="2"/>
          </w:tcPr>
          <w:p>
            <w:pPr>
              <w:spacing w:after="0"/>
              <w:rPr>
                <w:sz w:val="20"/>
                <w:szCs w:val="20"/>
                <w:color w:val="auto"/>
              </w:rPr>
            </w:pPr>
            <w:r>
              <w:rPr>
                <w:rFonts w:ascii="Arial" w:cs="Arial" w:eastAsia="Arial" w:hAnsi="Arial"/>
                <w:sz w:val="18"/>
                <w:szCs w:val="18"/>
                <w:color w:val="auto"/>
              </w:rPr>
              <w:t>Citadel Equity Fund Ltd.</w:t>
            </w:r>
            <w:r>
              <w:rPr>
                <w:rFonts w:ascii="Arial" w:cs="Arial" w:eastAsia="Arial" w:hAnsi="Arial"/>
                <w:sz w:val="30"/>
                <w:szCs w:val="30"/>
                <w:color w:val="auto"/>
                <w:vertAlign w:val="superscript"/>
              </w:rPr>
              <w:t>(9)</w:t>
            </w:r>
          </w:p>
        </w:tc>
        <w:tc>
          <w:tcPr>
            <w:tcW w:w="2040" w:type="dxa"/>
            <w:vAlign w:val="bottom"/>
          </w:tcPr>
          <w:p>
            <w:pPr>
              <w:spacing w:after="0"/>
              <w:rPr>
                <w:sz w:val="20"/>
                <w:szCs w:val="20"/>
                <w:color w:val="auto"/>
              </w:rPr>
            </w:pPr>
            <w:r>
              <w:rPr>
                <w:rFonts w:ascii="Arial" w:cs="Arial" w:eastAsia="Arial" w:hAnsi="Arial"/>
                <w:sz w:val="18"/>
                <w:szCs w:val="18"/>
                <w:color w:val="auto"/>
              </w:rPr>
              <w:t>182,970</w:t>
            </w:r>
          </w:p>
        </w:tc>
        <w:tc>
          <w:tcPr>
            <w:tcW w:w="0" w:type="dxa"/>
            <w:vAlign w:val="bottom"/>
          </w:tcPr>
          <w:p>
            <w:pPr>
              <w:spacing w:after="0"/>
              <w:rPr>
                <w:sz w:val="1"/>
                <w:szCs w:val="1"/>
                <w:color w:val="auto"/>
              </w:rPr>
            </w:pPr>
          </w:p>
        </w:tc>
      </w:tr>
      <w:tr>
        <w:trPr>
          <w:trHeight w:val="268"/>
        </w:trPr>
        <w:tc>
          <w:tcPr>
            <w:tcW w:w="2420" w:type="dxa"/>
            <w:vAlign w:val="bottom"/>
            <w:gridSpan w:val="2"/>
          </w:tcPr>
          <w:p>
            <w:pPr>
              <w:spacing w:after="0"/>
              <w:rPr>
                <w:sz w:val="20"/>
                <w:szCs w:val="20"/>
                <w:color w:val="auto"/>
              </w:rPr>
            </w:pPr>
            <w:r>
              <w:rPr>
                <w:rFonts w:ascii="Arial" w:cs="Arial" w:eastAsia="Arial" w:hAnsi="Arial"/>
                <w:sz w:val="18"/>
                <w:szCs w:val="18"/>
                <w:color w:val="auto"/>
              </w:rPr>
              <w:t>Competrol International</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41,374</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Investments Limited</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Cornwell Services</w:t>
            </w:r>
          </w:p>
        </w:tc>
        <w:tc>
          <w:tcPr>
            <w:tcW w:w="2040" w:type="dxa"/>
            <w:vAlign w:val="bottom"/>
          </w:tcPr>
          <w:p>
            <w:pPr>
              <w:spacing w:after="0"/>
              <w:rPr>
                <w:sz w:val="20"/>
                <w:szCs w:val="20"/>
                <w:color w:val="auto"/>
              </w:rPr>
            </w:pPr>
            <w:r>
              <w:rPr>
                <w:rFonts w:ascii="Arial" w:cs="Arial" w:eastAsia="Arial" w:hAnsi="Arial"/>
                <w:sz w:val="18"/>
                <w:szCs w:val="18"/>
                <w:color w:val="auto"/>
              </w:rPr>
              <w:t>6,068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11,376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29,721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24,524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501,336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57,564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2,062,474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3,215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1,725,446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5,477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13"/>
        </w:trPr>
        <w:tc>
          <w:tcPr>
            <w:tcW w:w="2040" w:type="dxa"/>
            <w:vAlign w:val="bottom"/>
          </w:tcPr>
          <w:p>
            <w:pPr>
              <w:spacing w:after="0"/>
              <w:rPr>
                <w:sz w:val="20"/>
                <w:szCs w:val="20"/>
                <w:color w:val="auto"/>
              </w:rPr>
            </w:pPr>
            <w:r>
              <w:rPr>
                <w:rFonts w:ascii="Arial" w:cs="Arial" w:eastAsia="Arial" w:hAnsi="Arial"/>
                <w:sz w:val="18"/>
                <w:szCs w:val="18"/>
                <w:color w:val="auto"/>
              </w:rPr>
              <w:t>2,062,474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13"/>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1,031,237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21,470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2,212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182,970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41,374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6,068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0"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52705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160" w:type="dxa"/>
            <w:vAlign w:val="bottom"/>
            <w:gridSpan w:val="2"/>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8"/>
        </w:trPr>
        <w:tc>
          <w:tcPr>
            <w:tcW w:w="2300" w:type="dxa"/>
            <w:vAlign w:val="bottom"/>
          </w:tcPr>
          <w:p>
            <w:pPr>
              <w:spacing w:after="0"/>
              <w:rPr>
                <w:sz w:val="20"/>
                <w:szCs w:val="20"/>
                <w:color w:val="auto"/>
              </w:rPr>
            </w:pPr>
            <w:r>
              <w:rPr>
                <w:rFonts w:ascii="Arial" w:cs="Arial" w:eastAsia="Arial" w:hAnsi="Arial"/>
                <w:sz w:val="18"/>
                <w:szCs w:val="18"/>
                <w:color w:val="auto"/>
              </w:rPr>
              <w:t>D. E. Shaw Galvanic</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1,663,906</w:t>
            </w:r>
          </w:p>
        </w:tc>
        <w:tc>
          <w:tcPr>
            <w:tcW w:w="0" w:type="dxa"/>
            <w:vAlign w:val="bottom"/>
          </w:tcPr>
          <w:p>
            <w:pPr>
              <w:spacing w:after="0"/>
              <w:rPr>
                <w:sz w:val="1"/>
                <w:szCs w:val="1"/>
                <w:color w:val="auto"/>
              </w:rPr>
            </w:pPr>
          </w:p>
        </w:tc>
      </w:tr>
      <w:tr>
        <w:trPr>
          <w:trHeight w:val="132"/>
        </w:trPr>
        <w:tc>
          <w:tcPr>
            <w:tcW w:w="2300" w:type="dxa"/>
            <w:vAlign w:val="bottom"/>
            <w:vMerge w:val="restart"/>
          </w:tcPr>
          <w:p>
            <w:pPr>
              <w:spacing w:after="0"/>
              <w:rPr>
                <w:sz w:val="20"/>
                <w:szCs w:val="20"/>
                <w:color w:val="auto"/>
              </w:rPr>
            </w:pPr>
            <w:r>
              <w:rPr>
                <w:rFonts w:ascii="Arial" w:cs="Arial" w:eastAsia="Arial" w:hAnsi="Arial"/>
                <w:sz w:val="18"/>
                <w:szCs w:val="18"/>
                <w:color w:val="auto"/>
              </w:rPr>
              <w:t xml:space="preserve">International, Inc. </w:t>
            </w:r>
            <w:r>
              <w:rPr>
                <w:rFonts w:ascii="Arial" w:cs="Arial" w:eastAsia="Arial" w:hAnsi="Arial"/>
                <w:sz w:val="30"/>
                <w:szCs w:val="30"/>
                <w:color w:val="auto"/>
                <w:vertAlign w:val="superscript"/>
              </w:rPr>
              <w:t>(10)(11)</w:t>
            </w: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300" w:type="dxa"/>
            <w:vAlign w:val="bottom"/>
          </w:tcPr>
          <w:p>
            <w:pPr>
              <w:spacing w:after="0"/>
              <w:rPr>
                <w:sz w:val="20"/>
                <w:szCs w:val="20"/>
                <w:color w:val="auto"/>
              </w:rPr>
            </w:pPr>
            <w:r>
              <w:rPr>
                <w:rFonts w:ascii="Arial" w:cs="Arial" w:eastAsia="Arial" w:hAnsi="Arial"/>
                <w:sz w:val="18"/>
                <w:szCs w:val="18"/>
                <w:color w:val="auto"/>
              </w:rPr>
              <w:t>D. E. Shaw Valence</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1,051,788</w:t>
            </w:r>
          </w:p>
        </w:tc>
        <w:tc>
          <w:tcPr>
            <w:tcW w:w="0" w:type="dxa"/>
            <w:vAlign w:val="bottom"/>
          </w:tcPr>
          <w:p>
            <w:pPr>
              <w:spacing w:after="0"/>
              <w:rPr>
                <w:sz w:val="1"/>
                <w:szCs w:val="1"/>
                <w:color w:val="auto"/>
              </w:rPr>
            </w:pPr>
          </w:p>
        </w:tc>
      </w:tr>
      <w:tr>
        <w:trPr>
          <w:trHeight w:val="132"/>
        </w:trPr>
        <w:tc>
          <w:tcPr>
            <w:tcW w:w="2300" w:type="dxa"/>
            <w:vAlign w:val="bottom"/>
            <w:vMerge w:val="restart"/>
          </w:tcPr>
          <w:p>
            <w:pPr>
              <w:spacing w:after="0"/>
              <w:rPr>
                <w:sz w:val="20"/>
                <w:szCs w:val="20"/>
                <w:color w:val="auto"/>
              </w:rPr>
            </w:pPr>
            <w:r>
              <w:rPr>
                <w:rFonts w:ascii="Arial" w:cs="Arial" w:eastAsia="Arial" w:hAnsi="Arial"/>
                <w:sz w:val="18"/>
                <w:szCs w:val="18"/>
                <w:color w:val="auto"/>
              </w:rPr>
              <w:t xml:space="preserve">International, Inc. </w:t>
            </w:r>
            <w:r>
              <w:rPr>
                <w:rFonts w:ascii="Arial" w:cs="Arial" w:eastAsia="Arial" w:hAnsi="Arial"/>
                <w:sz w:val="30"/>
                <w:szCs w:val="30"/>
                <w:color w:val="auto"/>
                <w:vertAlign w:val="superscript"/>
              </w:rPr>
              <w:t>(10)(11)</w:t>
            </w: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0"/>
                <w:szCs w:val="20"/>
                <w:color w:val="auto"/>
              </w:rPr>
            </w:pPr>
            <w:r>
              <w:rPr>
                <w:rFonts w:ascii="Arial" w:cs="Arial" w:eastAsia="Arial" w:hAnsi="Arial"/>
                <w:sz w:val="18"/>
                <w:szCs w:val="18"/>
                <w:color w:val="auto"/>
              </w:rPr>
              <w:t>Dan Bendtsen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Dan Harel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3"/>
              </w:rPr>
              <w:t>Daniel David Pastor Javaloyes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Daniel Garanto Carrera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Daniel Parker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Daniela Weber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Daniele Nadal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4"/>
              </w:rPr>
              <w:t>Delta Alternative Management</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7"/>
              </w:rPr>
              <w:t>SAS on behalf of Delta Prime</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105,397</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ESSF</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Detlev Elsner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Dimitrios Petropoulaskis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Dirk Heidenreich</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Distribuciones Región Este,</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Dorzay Fund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Dragos Bruno Condi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2,689</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Eduard Dieter Winkels and</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Juana Arce Molina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Eduard Ribas Palorera and</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Silvia Gabarro Font</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Eduardo Vizcaya Alberola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Ellipsis High Yield Fund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Ellipsis Polarius Credit Fund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27,533</w:t>
            </w:r>
          </w:p>
        </w:tc>
        <w:tc>
          <w:tcPr>
            <w:tcW w:w="0" w:type="dxa"/>
            <w:vAlign w:val="bottom"/>
          </w:tcPr>
          <w:p>
            <w:pPr>
              <w:spacing w:after="0"/>
              <w:rPr>
                <w:sz w:val="1"/>
                <w:szCs w:val="1"/>
                <w:color w:val="auto"/>
              </w:rPr>
            </w:pPr>
          </w:p>
        </w:tc>
      </w:tr>
      <w:tr>
        <w:trPr>
          <w:trHeight w:val="408"/>
        </w:trPr>
        <w:tc>
          <w:tcPr>
            <w:tcW w:w="2300" w:type="dxa"/>
            <w:vAlign w:val="bottom"/>
          </w:tcPr>
          <w:p>
            <w:pPr>
              <w:spacing w:after="0"/>
              <w:rPr>
                <w:sz w:val="20"/>
                <w:szCs w:val="20"/>
                <w:color w:val="auto"/>
              </w:rPr>
            </w:pPr>
            <w:r>
              <w:rPr>
                <w:rFonts w:ascii="Arial" w:cs="Arial" w:eastAsia="Arial" w:hAnsi="Arial"/>
                <w:sz w:val="18"/>
                <w:szCs w:val="18"/>
                <w:color w:val="auto"/>
              </w:rPr>
              <w:t>Emmanuel Salvador Gayan</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32"/>
        </w:trPr>
        <w:tc>
          <w:tcPr>
            <w:tcW w:w="2300" w:type="dxa"/>
            <w:vAlign w:val="bottom"/>
            <w:vMerge w:val="restart"/>
          </w:tcPr>
          <w:p>
            <w:pPr>
              <w:spacing w:after="0"/>
              <w:rPr>
                <w:sz w:val="20"/>
                <w:szCs w:val="20"/>
                <w:color w:val="auto"/>
              </w:rPr>
            </w:pPr>
            <w:r>
              <w:rPr>
                <w:rFonts w:ascii="Arial" w:cs="Arial" w:eastAsia="Arial" w:hAnsi="Arial"/>
                <w:sz w:val="18"/>
                <w:szCs w:val="18"/>
                <w:color w:val="auto"/>
              </w:rPr>
              <w:t>Contero</w:t>
            </w:r>
            <w:r>
              <w:rPr>
                <w:rFonts w:ascii="Arial" w:cs="Arial" w:eastAsia="Arial" w:hAnsi="Arial"/>
                <w:sz w:val="30"/>
                <w:szCs w:val="30"/>
                <w:color w:val="auto"/>
                <w:vertAlign w:val="superscript"/>
              </w:rPr>
              <w:t>(12)</w:t>
            </w: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3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0"/>
                <w:szCs w:val="20"/>
                <w:color w:val="auto"/>
              </w:rPr>
            </w:pPr>
            <w:r>
              <w:rPr>
                <w:rFonts w:ascii="Arial" w:cs="Arial" w:eastAsia="Arial" w:hAnsi="Arial"/>
                <w:sz w:val="18"/>
                <w:szCs w:val="18"/>
                <w:color w:val="auto"/>
              </w:rPr>
              <w:t>Enrico Maria Gerosa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9"/>
              </w:rPr>
              <w:t>Epsilon Wealth Management</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Sicav S.A.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Eralan Inversiones, SL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4,096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Eran Yohav Lipszyc</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Eulalia Torres Perez</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1,663,906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1,051,788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11,898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105,397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11,151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27,533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2,199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2,266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4,096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686"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52705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686"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582"/>
        </w:trPr>
        <w:tc>
          <w:tcPr>
            <w:tcW w:w="2420" w:type="dxa"/>
            <w:vAlign w:val="bottom"/>
            <w:gridSpan w:val="2"/>
          </w:tcPr>
          <w:p>
            <w:pPr>
              <w:spacing w:after="0"/>
              <w:rPr>
                <w:sz w:val="20"/>
                <w:szCs w:val="20"/>
                <w:color w:val="auto"/>
              </w:rPr>
            </w:pPr>
            <w:r>
              <w:rPr>
                <w:rFonts w:ascii="Arial" w:cs="Arial" w:eastAsia="Arial" w:hAnsi="Arial"/>
                <w:sz w:val="18"/>
                <w:szCs w:val="18"/>
                <w:color w:val="auto"/>
              </w:rPr>
              <w:t>Exane SA</w:t>
            </w:r>
            <w:r>
              <w:rPr>
                <w:rFonts w:ascii="Arial" w:cs="Arial" w:eastAsia="Arial" w:hAnsi="Arial"/>
                <w:sz w:val="30"/>
                <w:szCs w:val="30"/>
                <w:color w:val="auto"/>
                <w:vertAlign w:val="superscript"/>
              </w:rPr>
              <w:t>(13)</w:t>
            </w:r>
          </w:p>
        </w:tc>
        <w:tc>
          <w:tcPr>
            <w:tcW w:w="2040" w:type="dxa"/>
            <w:vAlign w:val="bottom"/>
          </w:tcPr>
          <w:p>
            <w:pPr>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Excavaciones Moviobra S.A.</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Felix Gonzalez Lopez</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Felix Maria Hofmann</w:t>
            </w:r>
          </w:p>
        </w:tc>
        <w:tc>
          <w:tcPr>
            <w:tcW w:w="2040" w:type="dxa"/>
            <w:vAlign w:val="bottom"/>
          </w:tcPr>
          <w:p>
            <w:pPr>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Fenoll Ambrosio Bermejo</w:t>
            </w:r>
          </w:p>
        </w:tc>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Fernando Delgado Parra</w:t>
            </w:r>
          </w:p>
        </w:tc>
        <w:tc>
          <w:tcPr>
            <w:tcW w:w="2040" w:type="dxa"/>
            <w:vAlign w:val="bottom"/>
          </w:tcPr>
          <w:p>
            <w:pPr>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Fernando Lino Salazar</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5,324</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Sampaio</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Fernando Lopez Teran</w:t>
            </w: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Fernando Reymundo Izard</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Filippo Marangoni</w:t>
            </w:r>
          </w:p>
        </w:tc>
        <w:tc>
          <w:tcPr>
            <w:tcW w:w="2040" w:type="dxa"/>
            <w:vAlign w:val="bottom"/>
          </w:tcPr>
          <w:p>
            <w:pPr>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Filippo Simioni</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Finanziaria Industriale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Polesana SRL</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Francesc Xavier De Doria</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Cabot</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Francesco Irgo Sacchi</w:t>
            </w: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Francisco António Borges</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Graínha Vale</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Francisco Cambil Sanchez</w:t>
            </w:r>
          </w:p>
        </w:tc>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w w:val="95"/>
              </w:rPr>
              <w:t>Francisco Jose Guisado Munoz</w:t>
            </w:r>
          </w:p>
        </w:tc>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Francisco Jorge Gomes Lopes</w:t>
            </w: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Francisco Martin Calvo</w:t>
            </w:r>
          </w:p>
        </w:tc>
        <w:tc>
          <w:tcPr>
            <w:tcW w:w="2040" w:type="dxa"/>
            <w:vAlign w:val="bottom"/>
          </w:tcPr>
          <w:p>
            <w:pPr>
              <w:spacing w:after="0"/>
              <w:rPr>
                <w:sz w:val="20"/>
                <w:szCs w:val="20"/>
                <w:color w:val="auto"/>
              </w:rPr>
            </w:pPr>
            <w:r>
              <w:rPr>
                <w:rFonts w:ascii="Arial" w:cs="Arial" w:eastAsia="Arial" w:hAnsi="Arial"/>
                <w:sz w:val="18"/>
                <w:szCs w:val="18"/>
                <w:color w:val="auto"/>
              </w:rPr>
              <w:t>2,081</w:t>
            </w:r>
          </w:p>
        </w:tc>
        <w:tc>
          <w:tcPr>
            <w:tcW w:w="0" w:type="dxa"/>
            <w:vAlign w:val="bottom"/>
          </w:tcPr>
          <w:p>
            <w:pPr>
              <w:spacing w:after="0"/>
              <w:rPr>
                <w:sz w:val="1"/>
                <w:szCs w:val="1"/>
                <w:color w:val="auto"/>
              </w:rPr>
            </w:pPr>
          </w:p>
        </w:tc>
      </w:tr>
      <w:tr>
        <w:trPr>
          <w:trHeight w:val="408"/>
        </w:trPr>
        <w:tc>
          <w:tcPr>
            <w:tcW w:w="2420" w:type="dxa"/>
            <w:vAlign w:val="bottom"/>
            <w:gridSpan w:val="2"/>
          </w:tcPr>
          <w:p>
            <w:pPr>
              <w:spacing w:after="0"/>
              <w:rPr>
                <w:sz w:val="20"/>
                <w:szCs w:val="20"/>
                <w:color w:val="auto"/>
              </w:rPr>
            </w:pPr>
            <w:r>
              <w:rPr>
                <w:rFonts w:ascii="Arial" w:cs="Arial" w:eastAsia="Arial" w:hAnsi="Arial"/>
                <w:sz w:val="18"/>
                <w:szCs w:val="18"/>
                <w:color w:val="auto"/>
              </w:rPr>
              <w:t>Fund G2PK GS Europe High</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13,652</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Yield ND PTF</w:t>
            </w:r>
            <w:r>
              <w:rPr>
                <w:rFonts w:ascii="Arial" w:cs="Arial" w:eastAsia="Arial" w:hAnsi="Arial"/>
                <w:sz w:val="30"/>
                <w:szCs w:val="30"/>
                <w:color w:val="auto"/>
                <w:vertAlign w:val="superscript"/>
              </w:rPr>
              <w:t>(14)</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Gabriel Soria Naharro</w:t>
            </w: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4"/>
        </w:trPr>
        <w:tc>
          <w:tcPr>
            <w:tcW w:w="2420" w:type="dxa"/>
            <w:vAlign w:val="bottom"/>
            <w:gridSpan w:val="2"/>
          </w:tcPr>
          <w:p>
            <w:pPr>
              <w:spacing w:after="0"/>
              <w:rPr>
                <w:sz w:val="20"/>
                <w:szCs w:val="20"/>
                <w:color w:val="auto"/>
              </w:rPr>
            </w:pPr>
            <w:r>
              <w:rPr>
                <w:rFonts w:ascii="Arial" w:cs="Arial" w:eastAsia="Arial" w:hAnsi="Arial"/>
                <w:sz w:val="18"/>
                <w:szCs w:val="18"/>
                <w:color w:val="auto"/>
                <w:w w:val="98"/>
              </w:rPr>
              <w:t>Geetanjali Kripalani-Dimanche</w:t>
            </w: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and Laurent Dimanche</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420" w:type="dxa"/>
            <w:vAlign w:val="bottom"/>
            <w:gridSpan w:val="2"/>
          </w:tcPr>
          <w:p>
            <w:pPr>
              <w:spacing w:after="0"/>
              <w:rPr>
                <w:sz w:val="20"/>
                <w:szCs w:val="20"/>
                <w:color w:val="auto"/>
              </w:rPr>
            </w:pPr>
            <w:r>
              <w:rPr>
                <w:rFonts w:ascii="Arial" w:cs="Arial" w:eastAsia="Arial" w:hAnsi="Arial"/>
                <w:sz w:val="18"/>
                <w:szCs w:val="18"/>
                <w:color w:val="auto"/>
              </w:rPr>
              <w:t>Gemma Torres Perez</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Georgios Gkionis</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Georgios Pavlopoulos</w:t>
            </w:r>
          </w:p>
        </w:tc>
        <w:tc>
          <w:tcPr>
            <w:tcW w:w="2040" w:type="dxa"/>
            <w:vAlign w:val="bottom"/>
          </w:tcPr>
          <w:p>
            <w:pPr>
              <w:spacing w:after="0"/>
              <w:rPr>
                <w:sz w:val="20"/>
                <w:szCs w:val="20"/>
                <w:color w:val="auto"/>
              </w:rPr>
            </w:pPr>
            <w:r>
              <w:rPr>
                <w:rFonts w:ascii="Arial" w:cs="Arial" w:eastAsia="Arial" w:hAnsi="Arial"/>
                <w:sz w:val="18"/>
                <w:szCs w:val="18"/>
                <w:color w:val="auto"/>
              </w:rPr>
              <w:t>6,892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Gerhard Hoelter</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Gianluca Marangoni</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Giulia Bochi</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Global Income SA-SIF</w:t>
            </w:r>
          </w:p>
        </w:tc>
        <w:tc>
          <w:tcPr>
            <w:tcW w:w="2040" w:type="dxa"/>
            <w:vAlign w:val="bottom"/>
          </w:tcPr>
          <w:p>
            <w:pPr>
              <w:spacing w:after="0"/>
              <w:rPr>
                <w:sz w:val="20"/>
                <w:szCs w:val="20"/>
                <w:color w:val="auto"/>
              </w:rPr>
            </w:pPr>
            <w:r>
              <w:rPr>
                <w:rFonts w:ascii="Arial" w:cs="Arial" w:eastAsia="Arial" w:hAnsi="Arial"/>
                <w:sz w:val="18"/>
                <w:szCs w:val="18"/>
                <w:color w:val="auto"/>
              </w:rPr>
              <w:t>21,637</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w w:val="98"/>
              </w:rPr>
              <w:t>GNB - Companhia de Seguros</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w w:val="94"/>
              </w:rPr>
              <w:t>de Vida, S.A. (as legal manager</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and representative of "Portfolio</w:t>
            </w:r>
          </w:p>
        </w:tc>
        <w:tc>
          <w:tcPr>
            <w:tcW w:w="2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Libre Private CVII")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5,876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5,324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2,081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13,652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6,892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21,637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756"/>
        </w:trPr>
        <w:tc>
          <w:tcPr>
            <w:tcW w:w="2040" w:type="dxa"/>
            <w:vAlign w:val="bottom"/>
          </w:tcPr>
          <w:p>
            <w:pPr>
              <w:spacing w:after="0"/>
              <w:rPr>
                <w:sz w:val="20"/>
                <w:szCs w:val="20"/>
                <w:color w:val="auto"/>
              </w:rPr>
            </w:pPr>
            <w:r>
              <w:rPr>
                <w:rFonts w:ascii="Arial" w:cs="Arial" w:eastAsia="Arial" w:hAnsi="Arial"/>
                <w:sz w:val="18"/>
                <w:szCs w:val="18"/>
                <w:color w:val="auto"/>
              </w:rPr>
              <w:t>2,833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4460" w:space="120"/>
            <w:col w:w="6600"/>
          </w:cols>
          <w:pgMar w:left="480" w:top="121" w:right="239" w:bottom="0" w:gutter="0" w:footer="0" w:header="0"/>
        </w:sectPr>
      </w:pPr>
    </w:p>
    <w:bookmarkStart w:id="9" w:name="page10"/>
    <w:bookmarkEnd w:id="9"/>
    <w:p>
      <w:pPr>
        <w:jc w:val="center"/>
        <w:ind w:right="-20"/>
        <w:spacing w:after="0"/>
        <w:rPr>
          <w:sz w:val="20"/>
          <w:szCs w:val="20"/>
          <w:color w:val="auto"/>
        </w:rPr>
      </w:pPr>
      <w:r>
        <w:rPr>
          <w:rFonts w:ascii="Arial" w:cs="Arial" w:eastAsia="Arial" w:hAnsi="Arial"/>
          <w:sz w:val="12"/>
          <w:szCs w:val="12"/>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160" w:type="dxa"/>
            <w:vAlign w:val="bottom"/>
            <w:gridSpan w:val="2"/>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Gonçalo Miguel Canteiro</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Rodeia Marques</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Groupe Revue Fiduciaire</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408"/>
        </w:trPr>
        <w:tc>
          <w:tcPr>
            <w:tcW w:w="2300" w:type="dxa"/>
            <w:vAlign w:val="bottom"/>
          </w:tcPr>
          <w:p>
            <w:pPr>
              <w:spacing w:after="0"/>
              <w:rPr>
                <w:sz w:val="20"/>
                <w:szCs w:val="20"/>
                <w:color w:val="auto"/>
              </w:rPr>
            </w:pPr>
            <w:r>
              <w:rPr>
                <w:rFonts w:ascii="Arial" w:cs="Arial" w:eastAsia="Arial" w:hAnsi="Arial"/>
                <w:sz w:val="18"/>
                <w:szCs w:val="18"/>
                <w:color w:val="auto"/>
              </w:rPr>
              <w:t>GS Europe High Yield DN</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5,461</w:t>
            </w:r>
          </w:p>
        </w:tc>
        <w:tc>
          <w:tcPr>
            <w:tcW w:w="0" w:type="dxa"/>
            <w:vAlign w:val="bottom"/>
          </w:tcPr>
          <w:p>
            <w:pPr>
              <w:spacing w:after="0"/>
              <w:rPr>
                <w:sz w:val="1"/>
                <w:szCs w:val="1"/>
                <w:color w:val="auto"/>
              </w:rPr>
            </w:pPr>
          </w:p>
        </w:tc>
      </w:tr>
      <w:tr>
        <w:trPr>
          <w:trHeight w:val="132"/>
        </w:trPr>
        <w:tc>
          <w:tcPr>
            <w:tcW w:w="2300" w:type="dxa"/>
            <w:vAlign w:val="bottom"/>
            <w:vMerge w:val="restart"/>
          </w:tcPr>
          <w:p>
            <w:pPr>
              <w:spacing w:after="0"/>
              <w:rPr>
                <w:sz w:val="20"/>
                <w:szCs w:val="20"/>
                <w:color w:val="auto"/>
              </w:rPr>
            </w:pPr>
            <w:r>
              <w:rPr>
                <w:rFonts w:ascii="Arial" w:cs="Arial" w:eastAsia="Arial" w:hAnsi="Arial"/>
                <w:sz w:val="36"/>
                <w:szCs w:val="36"/>
                <w:color w:val="auto"/>
                <w:vertAlign w:val="subscript"/>
              </w:rPr>
              <w:t>PTD</w:t>
            </w:r>
            <w:r>
              <w:rPr>
                <w:rFonts w:ascii="Arial" w:cs="Arial" w:eastAsia="Arial" w:hAnsi="Arial"/>
                <w:sz w:val="15"/>
                <w:szCs w:val="15"/>
                <w:color w:val="auto"/>
              </w:rPr>
              <w:t>(14)</w:t>
            </w:r>
          </w:p>
        </w:tc>
        <w:tc>
          <w:tcPr>
            <w:tcW w:w="2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Günter Matusche</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Hadron Master Fund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10,538</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Harvstburg Capital Special</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w w:val="98"/>
              </w:rPr>
              <w:t>Situations 1 GmbH &amp; Co. KG</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Hayfin Opal Luxco 3 Sarl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196,426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Hayfin SOF II LuxCo 2 Sarl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1,473,196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HayFin Topaz LuxCo 3 SCA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49,106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Henning Christensen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4"/>
        </w:trPr>
        <w:tc>
          <w:tcPr>
            <w:tcW w:w="2300" w:type="dxa"/>
            <w:vAlign w:val="bottom"/>
          </w:tcPr>
          <w:p>
            <w:pPr>
              <w:spacing w:after="0"/>
              <w:rPr>
                <w:sz w:val="20"/>
                <w:szCs w:val="20"/>
                <w:color w:val="auto"/>
              </w:rPr>
            </w:pPr>
            <w:r>
              <w:rPr>
                <w:rFonts w:ascii="Arial" w:cs="Arial" w:eastAsia="Arial" w:hAnsi="Arial"/>
                <w:sz w:val="18"/>
                <w:szCs w:val="18"/>
                <w:color w:val="auto"/>
                <w:w w:val="90"/>
              </w:rPr>
              <w:t>Hermanos Pla-Font Benito (P.P</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4"/>
              </w:rPr>
              <w:t>Juan Antonio Pla-Font Benito)</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300" w:type="dxa"/>
            <w:vAlign w:val="bottom"/>
          </w:tcPr>
          <w:p>
            <w:pPr>
              <w:spacing w:after="0"/>
              <w:rPr>
                <w:sz w:val="20"/>
                <w:szCs w:val="20"/>
                <w:color w:val="auto"/>
              </w:rPr>
            </w:pPr>
            <w:r>
              <w:rPr>
                <w:rFonts w:ascii="Arial" w:cs="Arial" w:eastAsia="Arial" w:hAnsi="Arial"/>
                <w:sz w:val="18"/>
                <w:szCs w:val="18"/>
                <w:color w:val="auto"/>
              </w:rPr>
              <w:t>Hervé Panizzí</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Ilias Petropoulakis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Imeris S.A. - SPF</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48,512</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Incorp Ingenieros, S.L.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Instituto de Crédito Oficial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415,860</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Inverbela SICAV</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Inversiones Caspatro, S.L.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Inversiones Matipe SICAV</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S.A.</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Investeringsselskabet JPJN</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ApS.</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Ivan De Lora Marquez</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582"/>
        </w:trPr>
        <w:tc>
          <w:tcPr>
            <w:tcW w:w="2300" w:type="dxa"/>
            <w:vAlign w:val="bottom"/>
          </w:tcPr>
          <w:p>
            <w:pPr>
              <w:spacing w:after="0"/>
              <w:rPr>
                <w:sz w:val="20"/>
                <w:szCs w:val="20"/>
                <w:color w:val="auto"/>
              </w:rPr>
            </w:pPr>
            <w:r>
              <w:rPr>
                <w:rFonts w:ascii="Arial" w:cs="Arial" w:eastAsia="Arial" w:hAnsi="Arial"/>
                <w:sz w:val="18"/>
                <w:szCs w:val="18"/>
                <w:color w:val="auto"/>
                <w:w w:val="88"/>
              </w:rPr>
              <w:t>J.P. Morgan Securities PLC</w:t>
            </w:r>
            <w:r>
              <w:rPr>
                <w:rFonts w:ascii="Arial" w:cs="Arial" w:eastAsia="Arial" w:hAnsi="Arial"/>
                <w:sz w:val="30"/>
                <w:szCs w:val="30"/>
                <w:color w:val="auto"/>
                <w:w w:val="88"/>
                <w:vertAlign w:val="superscript"/>
              </w:rPr>
              <w:t>(15)</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115,956</w:t>
            </w:r>
          </w:p>
        </w:tc>
        <w:tc>
          <w:tcPr>
            <w:tcW w:w="0" w:type="dxa"/>
            <w:vAlign w:val="bottom"/>
          </w:tcPr>
          <w:p>
            <w:pPr>
              <w:spacing w:after="0"/>
              <w:rPr>
                <w:sz w:val="1"/>
                <w:szCs w:val="1"/>
                <w:color w:val="auto"/>
              </w:rPr>
            </w:pPr>
          </w:p>
        </w:tc>
      </w:tr>
      <w:tr>
        <w:trPr>
          <w:trHeight w:val="282"/>
        </w:trPr>
        <w:tc>
          <w:tcPr>
            <w:tcW w:w="2300" w:type="dxa"/>
            <w:vAlign w:val="bottom"/>
          </w:tcPr>
          <w:p>
            <w:pPr>
              <w:spacing w:after="0"/>
              <w:rPr>
                <w:sz w:val="20"/>
                <w:szCs w:val="20"/>
                <w:color w:val="auto"/>
              </w:rPr>
            </w:pPr>
            <w:r>
              <w:rPr>
                <w:rFonts w:ascii="Arial" w:cs="Arial" w:eastAsia="Arial" w:hAnsi="Arial"/>
                <w:sz w:val="18"/>
                <w:szCs w:val="18"/>
                <w:color w:val="auto"/>
              </w:rPr>
              <w:t>Jacopo Gerosa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Jaime Héctor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James S Arglaas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Javier Rivela Rodriguez</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5"/>
              </w:rPr>
              <w:t>Jerome Bellavista Caltagirone</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Jesus Vigo Aguiar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5,461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10,538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196,426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1,473,196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49,106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48,512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415,860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4,650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115,956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902"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52705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902"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JMT Handelsselskab Aps</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Jorge Nelson Ferreira de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Aguilar Quintas</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Jorge Vidal Tortosa</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Jose Leonel Silva Neto</w:t>
            </w: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Jose Luis Gambero Andrade</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José Luis Muñoz Atanet</w:t>
            </w:r>
          </w:p>
        </w:tc>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José Manuel De La Cámara,</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S.A.</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José María Elias de Tejada</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Lozano</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Jose Maria Verdugo Arias</w:t>
            </w:r>
          </w:p>
        </w:tc>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Jose Maria Villar Alonso</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Jose Miguel Abascal Morte</w:t>
            </w:r>
          </w:p>
        </w:tc>
        <w:tc>
          <w:tcPr>
            <w:tcW w:w="2040" w:type="dxa"/>
            <w:vAlign w:val="bottom"/>
          </w:tcPr>
          <w:p>
            <w:pPr>
              <w:spacing w:after="0"/>
              <w:rPr>
                <w:sz w:val="20"/>
                <w:szCs w:val="20"/>
                <w:color w:val="auto"/>
              </w:rPr>
            </w:pPr>
            <w:r>
              <w:rPr>
                <w:rFonts w:ascii="Arial" w:cs="Arial" w:eastAsia="Arial" w:hAnsi="Arial"/>
                <w:sz w:val="18"/>
                <w:szCs w:val="18"/>
                <w:color w:val="auto"/>
              </w:rPr>
              <w:t>1,484</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Jose Moura Nogueira dos</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3,242</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Santos</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JP Richard &amp; Associés</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Juan Alberola Calabuig</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Juan Antonio Pardo Garcia</w:t>
            </w:r>
          </w:p>
        </w:tc>
        <w:tc>
          <w:tcPr>
            <w:tcW w:w="2040" w:type="dxa"/>
            <w:vAlign w:val="bottom"/>
          </w:tcPr>
          <w:p>
            <w:pPr>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Juan Carlos Montes Cabello</w:t>
            </w:r>
          </w:p>
        </w:tc>
        <w:tc>
          <w:tcPr>
            <w:tcW w:w="2040" w:type="dxa"/>
            <w:vAlign w:val="bottom"/>
          </w:tcPr>
          <w:p>
            <w:pPr>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434"/>
        </w:trPr>
        <w:tc>
          <w:tcPr>
            <w:tcW w:w="2420" w:type="dxa"/>
            <w:vAlign w:val="bottom"/>
            <w:gridSpan w:val="2"/>
          </w:tcPr>
          <w:p>
            <w:pPr>
              <w:spacing w:after="0"/>
              <w:rPr>
                <w:sz w:val="20"/>
                <w:szCs w:val="20"/>
                <w:color w:val="auto"/>
              </w:rPr>
            </w:pPr>
            <w:r>
              <w:rPr>
                <w:rFonts w:ascii="Arial" w:cs="Arial" w:eastAsia="Arial" w:hAnsi="Arial"/>
                <w:sz w:val="18"/>
                <w:szCs w:val="18"/>
                <w:color w:val="auto"/>
                <w:w w:val="95"/>
              </w:rPr>
              <w:t>Juan De Dios Gomez-Zurita De</w:t>
            </w:r>
          </w:p>
        </w:tc>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La Cruz</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420" w:type="dxa"/>
            <w:vAlign w:val="bottom"/>
            <w:gridSpan w:val="2"/>
          </w:tcPr>
          <w:p>
            <w:pPr>
              <w:spacing w:after="0"/>
              <w:rPr>
                <w:sz w:val="20"/>
                <w:szCs w:val="20"/>
                <w:color w:val="auto"/>
              </w:rPr>
            </w:pPr>
            <w:r>
              <w:rPr>
                <w:rFonts w:ascii="Arial" w:cs="Arial" w:eastAsia="Arial" w:hAnsi="Arial"/>
                <w:sz w:val="18"/>
                <w:szCs w:val="18"/>
                <w:color w:val="auto"/>
              </w:rPr>
              <w:t>Juan Jose Tenorio Blazquez</w:t>
            </w: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Juan Manuel Cantera Urciá</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Juan Toro Cebada</w:t>
            </w:r>
          </w:p>
        </w:tc>
        <w:tc>
          <w:tcPr>
            <w:tcW w:w="2040" w:type="dxa"/>
            <w:vAlign w:val="bottom"/>
          </w:tcPr>
          <w:p>
            <w:pPr>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Kalliyan Holdings Inc.</w:t>
            </w:r>
          </w:p>
        </w:tc>
        <w:tc>
          <w:tcPr>
            <w:tcW w:w="2040" w:type="dxa"/>
            <w:vAlign w:val="bottom"/>
          </w:tcPr>
          <w:p>
            <w:pPr>
              <w:spacing w:after="0"/>
              <w:rPr>
                <w:sz w:val="20"/>
                <w:szCs w:val="20"/>
                <w:color w:val="auto"/>
              </w:rPr>
            </w:pPr>
            <w:r>
              <w:rPr>
                <w:rFonts w:ascii="Arial" w:cs="Arial" w:eastAsia="Arial" w:hAnsi="Arial"/>
                <w:sz w:val="18"/>
                <w:szCs w:val="18"/>
                <w:color w:val="auto"/>
              </w:rPr>
              <w:t>8,227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Karl Erik Clausen</w:t>
            </w:r>
          </w:p>
        </w:tc>
        <w:tc>
          <w:tcPr>
            <w:tcW w:w="2040" w:type="dxa"/>
            <w:vAlign w:val="bottom"/>
          </w:tcPr>
          <w:p>
            <w:pPr>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Katherine Parodi</w:t>
            </w:r>
          </w:p>
        </w:tc>
        <w:tc>
          <w:tcPr>
            <w:tcW w:w="2040" w:type="dxa"/>
            <w:vAlign w:val="bottom"/>
          </w:tcPr>
          <w:p>
            <w:pPr>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KL Special Opportunities</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137,956</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Master Fund Ltd</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Knud Trøstrup</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Lansdowne Core Credit Master</w:t>
            </w:r>
          </w:p>
        </w:tc>
        <w:tc>
          <w:tcPr>
            <w:tcW w:w="2040" w:type="dxa"/>
            <w:vAlign w:val="bottom"/>
          </w:tcPr>
          <w:p>
            <w:pPr>
              <w:spacing w:after="0"/>
              <w:rPr>
                <w:sz w:val="20"/>
                <w:szCs w:val="20"/>
                <w:color w:val="auto"/>
              </w:rPr>
            </w:pPr>
            <w:r>
              <w:rPr>
                <w:rFonts w:ascii="Arial" w:cs="Arial" w:eastAsia="Arial" w:hAnsi="Arial"/>
                <w:sz w:val="18"/>
                <w:szCs w:val="18"/>
                <w:color w:val="auto"/>
              </w:rPr>
              <w:t>10,127</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Fund Limited</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2420" w:type="dxa"/>
            <w:vAlign w:val="bottom"/>
            <w:gridSpan w:val="2"/>
          </w:tcPr>
          <w:p>
            <w:pPr>
              <w:spacing w:after="0"/>
              <w:rPr>
                <w:sz w:val="20"/>
                <w:szCs w:val="20"/>
                <w:color w:val="auto"/>
              </w:rPr>
            </w:pPr>
            <w:r>
              <w:rPr>
                <w:rFonts w:ascii="Arial" w:cs="Arial" w:eastAsia="Arial" w:hAnsi="Arial"/>
                <w:sz w:val="18"/>
                <w:szCs w:val="18"/>
                <w:color w:val="auto"/>
              </w:rPr>
              <w:t>Lansdowne Investment</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37,061</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Company Limited</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Lars Lemonius</w:t>
            </w:r>
          </w:p>
        </w:tc>
        <w:tc>
          <w:tcPr>
            <w:tcW w:w="2040" w:type="dxa"/>
            <w:vAlign w:val="bottom"/>
          </w:tcPr>
          <w:p>
            <w:pPr>
              <w:spacing w:after="0"/>
              <w:rPr>
                <w:sz w:val="20"/>
                <w:szCs w:val="20"/>
                <w:color w:val="auto"/>
              </w:rPr>
            </w:pPr>
            <w:r>
              <w:rPr>
                <w:rFonts w:ascii="Arial" w:cs="Arial" w:eastAsia="Arial" w:hAnsi="Arial"/>
                <w:sz w:val="18"/>
                <w:szCs w:val="18"/>
                <w:color w:val="auto"/>
              </w:rPr>
              <w:t>17,813</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Lars Tillmann Meissner</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1,484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2,089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8,227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137,956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10,127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37,061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17,813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38"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2"/>
          <w:szCs w:val="12"/>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52705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38"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Shareholder</w:t>
      </w:r>
      <w:r>
        <w:rPr>
          <w:rFonts w:ascii="Arial" w:cs="Arial" w:eastAsia="Arial" w:hAnsi="Arial"/>
          <w:sz w:val="30"/>
          <w:szCs w:val="30"/>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14579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Leonardo Marques Amoros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Leonardo Vaselli</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Leonor Garcia-Berlanga Vitoria</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Liseta Felix Arinto Ribeiro Almeida</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LMGP – Sociedade de Prestação Serviços Médicos, lda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Lourdes Fernandez Campos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Luc Paillard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 Patenaude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Luca Massimiliano Chioda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Luigi Formisano</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Luis Angel Rodriguez Gonzalez and Lorena Robla Gomez</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Luis Jose Alvarez Alvarez</w:t>
      </w:r>
    </w:p>
    <w:p>
      <w:pPr>
        <w:spacing w:after="0" w:line="225"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color w:val="auto"/>
        </w:rPr>
        <w:t>Luis Jose Perez Berrocal and Rosa Maria Morla Escobar</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Luis Manuel Martins Castelo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Luis Miguel Pinto Ferreira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Luis Paulo Reis Cocco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Luis Rossello Rodon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Luz Internacional Films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Op het Veld</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Macarena Elias de Tejada Casanova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Manuel Alvarez Davila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Manuel Martin Monroy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Manuel Medina Fernandez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Manuel Montero Camacho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Manuel Sanchez Sanchez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Marcel Goetstouwers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Marco Augusto Lisboa Rocha Fians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Marco Perale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Marco Seregni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Mare Nostrum 121 SICAV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Owned Prior to</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756"/>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1,365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2160" w:space="260"/>
            <w:col w:w="8760"/>
          </w:cols>
          <w:pgMar w:left="480" w:top="121" w:right="239" w:bottom="0" w:gutter="0" w:footer="0" w:header="0"/>
        </w:sectPr>
      </w:pPr>
    </w:p>
    <w:bookmarkStart w:id="13" w:name="page14"/>
    <w:bookmarkEnd w:id="13"/>
    <w:p>
      <w:pPr>
        <w:jc w:val="center"/>
        <w:ind w:right="-20"/>
        <w:spacing w:after="0"/>
        <w:rPr>
          <w:sz w:val="20"/>
          <w:szCs w:val="20"/>
          <w:color w:val="auto"/>
        </w:rPr>
      </w:pPr>
      <w:r>
        <w:rPr>
          <w:rFonts w:ascii="Arial" w:cs="Arial" w:eastAsia="Arial" w:hAnsi="Arial"/>
          <w:sz w:val="12"/>
          <w:szCs w:val="12"/>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2160" w:type="dxa"/>
            <w:vAlign w:val="bottom"/>
            <w:gridSpan w:val="2"/>
          </w:tcPr>
          <w:p>
            <w:pPr>
              <w:ind w:left="120"/>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160" w:type="dxa"/>
            <w:vAlign w:val="bottom"/>
            <w:gridSpan w:val="2"/>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9"/>
              </w:rPr>
              <w:t>Maria del Carmen Gonzalez-</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Ducay</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Maria del Milagro Gomez-</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Cano Lopez</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4"/>
        </w:trPr>
        <w:tc>
          <w:tcPr>
            <w:tcW w:w="2300" w:type="dxa"/>
            <w:vAlign w:val="bottom"/>
          </w:tcPr>
          <w:p>
            <w:pPr>
              <w:spacing w:after="0"/>
              <w:rPr>
                <w:sz w:val="20"/>
                <w:szCs w:val="20"/>
                <w:color w:val="auto"/>
              </w:rPr>
            </w:pPr>
            <w:r>
              <w:rPr>
                <w:rFonts w:ascii="Arial" w:cs="Arial" w:eastAsia="Arial" w:hAnsi="Arial"/>
                <w:sz w:val="18"/>
                <w:szCs w:val="18"/>
                <w:color w:val="auto"/>
                <w:w w:val="90"/>
              </w:rPr>
              <w:t>Maria do Carmo Jardim Pereira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do Vale Henriques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300" w:type="dxa"/>
            <w:vAlign w:val="bottom"/>
          </w:tcPr>
          <w:p>
            <w:pPr>
              <w:spacing w:after="0"/>
              <w:rPr>
                <w:sz w:val="20"/>
                <w:szCs w:val="20"/>
                <w:color w:val="auto"/>
              </w:rPr>
            </w:pPr>
            <w:r>
              <w:rPr>
                <w:rFonts w:ascii="Arial" w:cs="Arial" w:eastAsia="Arial" w:hAnsi="Arial"/>
                <w:sz w:val="18"/>
                <w:szCs w:val="18"/>
                <w:color w:val="auto"/>
                <w:w w:val="95"/>
              </w:rPr>
              <w:t>Maria Dolores Bermejo Fenoll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6"/>
              </w:rPr>
              <w:t>Maria Filomena Duarte Pedro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Maria Isabel Luzárraga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Maria Jesus Herrero Azuara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Maria Josefa Durán López</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Maria Luisa Lara Yotti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Maria Luísa Lopez-Teíson</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Perez</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2"/>
              </w:rPr>
              <w:t>María Luisa Sánchez Quintana</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9"/>
              </w:rPr>
              <w:t>María Lunna Gayan Contero</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Maria Manuela Carvalhal</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Pereira Sampaio</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Maria Teresa Rodrigues</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w w:val="91"/>
              </w:rPr>
              <w:t>Carneiro Chaves Leite Fragoso</w:t>
            </w:r>
          </w:p>
        </w:tc>
        <w:tc>
          <w:tcPr>
            <w:tcW w:w="2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Maria Victoria Perez Ullivarri</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Brasac</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Marina Serbandini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Mario Christodoulou</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rPr>
              <w:t>Marjorie van Berge</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Henegouwen</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Martin Duch Sondergaard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Massimo Dauri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Matignon Finances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Mattia Teoldi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Matthias Bohn</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Maymer Invest SICAV</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9"/>
              </w:rPr>
              <w:t>Mayorazgo de Henares, S.L.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Mediero Rubio, S.L.</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418"/>
        </w:trPr>
        <w:tc>
          <w:tcPr>
            <w:tcW w:w="2300" w:type="dxa"/>
            <w:vAlign w:val="bottom"/>
          </w:tcPr>
          <w:p>
            <w:pPr>
              <w:spacing w:after="0"/>
              <w:rPr>
                <w:sz w:val="20"/>
                <w:szCs w:val="20"/>
                <w:color w:val="auto"/>
              </w:rPr>
            </w:pPr>
            <w:r>
              <w:rPr>
                <w:rFonts w:ascii="Arial" w:cs="Arial" w:eastAsia="Arial" w:hAnsi="Arial"/>
                <w:sz w:val="18"/>
                <w:szCs w:val="18"/>
                <w:color w:val="auto"/>
                <w:w w:val="98"/>
              </w:rPr>
              <w:t>Melqart Opportunities Master</w:t>
            </w: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362,163</w:t>
            </w:r>
          </w:p>
        </w:tc>
        <w:tc>
          <w:tcPr>
            <w:tcW w:w="0" w:type="dxa"/>
            <w:vAlign w:val="bottom"/>
          </w:tcPr>
          <w:p>
            <w:pPr>
              <w:spacing w:after="0"/>
              <w:rPr>
                <w:sz w:val="1"/>
                <w:szCs w:val="1"/>
                <w:color w:val="auto"/>
              </w:rPr>
            </w:pPr>
          </w:p>
        </w:tc>
      </w:tr>
      <w:tr>
        <w:trPr>
          <w:trHeight w:val="122"/>
        </w:trPr>
        <w:tc>
          <w:tcPr>
            <w:tcW w:w="2300" w:type="dxa"/>
            <w:vAlign w:val="bottom"/>
            <w:vMerge w:val="restart"/>
          </w:tcPr>
          <w:p>
            <w:pPr>
              <w:spacing w:after="0"/>
              <w:rPr>
                <w:sz w:val="20"/>
                <w:szCs w:val="20"/>
                <w:color w:val="auto"/>
              </w:rPr>
            </w:pPr>
            <w:r>
              <w:rPr>
                <w:rFonts w:ascii="Arial" w:cs="Arial" w:eastAsia="Arial" w:hAnsi="Arial"/>
                <w:sz w:val="18"/>
                <w:szCs w:val="18"/>
                <w:color w:val="auto"/>
              </w:rPr>
              <w:t>Fund Ltd</w:t>
            </w:r>
          </w:p>
        </w:tc>
        <w:tc>
          <w:tcPr>
            <w:tcW w:w="2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Menhaden Capital PLC</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197,382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1,093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16,081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77,155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285,008</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0.28%</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43,147</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154,235</w:t>
            </w:r>
          </w:p>
        </w:tc>
        <w:tc>
          <w:tcPr>
            <w:tcW w:w="1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0.15%</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243"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45720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243"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 of</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Ordinary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Shares</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Beneficially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300" w:type="dxa"/>
            <w:vAlign w:val="bottom"/>
          </w:tcPr>
          <w:p>
            <w:pPr>
              <w:spacing w:after="0"/>
              <w:rPr>
                <w:sz w:val="17"/>
                <w:szCs w:val="17"/>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Owned Prior to</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280" w:type="dxa"/>
            <w:vAlign w:val="bottom"/>
            <w:gridSpan w:val="3"/>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Offered</w:t>
            </w:r>
          </w:p>
        </w:tc>
        <w:tc>
          <w:tcPr>
            <w:tcW w:w="2160" w:type="dxa"/>
            <w:vAlign w:val="bottom"/>
            <w:gridSpan w:val="2"/>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2280" w:type="dxa"/>
            <w:vAlign w:val="bottom"/>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180"/>
          </w:cols>
          <w:pgMar w:left="480" w:top="121" w:right="239" w:bottom="254" w:gutter="0" w:footer="0" w:header="0"/>
        </w:sectPr>
      </w:pPr>
    </w:p>
    <w:p>
      <w:pPr>
        <w:spacing w:after="0" w:line="2"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Michael Peter Winkels and Maria Luisa Lozano Martin</w:t>
      </w:r>
    </w:p>
    <w:p>
      <w:pPr>
        <w:spacing w:after="0" w:line="1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Miguel Angelo Rodrigues Da Silva César</w:t>
      </w:r>
    </w:p>
    <w:p>
      <w:pPr>
        <w:spacing w:after="0" w:line="170" w:lineRule="exact"/>
        <w:rPr>
          <w:sz w:val="20"/>
          <w:szCs w:val="20"/>
          <w:color w:val="auto"/>
        </w:rPr>
      </w:pPr>
    </w:p>
    <w:p>
      <w:pPr>
        <w:spacing w:after="0" w:line="563" w:lineRule="auto"/>
        <w:rPr>
          <w:sz w:val="20"/>
          <w:szCs w:val="20"/>
          <w:color w:val="auto"/>
        </w:rPr>
      </w:pPr>
      <w:r>
        <w:rPr>
          <w:rFonts w:ascii="Arial" w:cs="Arial" w:eastAsia="Arial" w:hAnsi="Arial"/>
          <w:sz w:val="16"/>
          <w:szCs w:val="16"/>
          <w:color w:val="auto"/>
        </w:rPr>
        <w:t>Miguel Gomez Araque Miguel Hansson Leite Fragoso</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Miguel Nuno Monteiro da Silva Romao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Montero Alquiler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Moro Parrés,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Nicola Esposito</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Nicolás Fernández de Villavicencio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Niels Vejgaard</w:t>
      </w:r>
    </w:p>
    <w:p>
      <w:pPr>
        <w:spacing w:after="0" w:line="225" w:lineRule="exact"/>
        <w:rPr>
          <w:sz w:val="20"/>
          <w:szCs w:val="20"/>
          <w:color w:val="auto"/>
        </w:rPr>
      </w:pPr>
    </w:p>
    <w:p>
      <w:pPr>
        <w:ind w:right="140"/>
        <w:spacing w:after="0" w:line="501" w:lineRule="auto"/>
        <w:rPr>
          <w:sz w:val="20"/>
          <w:szCs w:val="20"/>
          <w:color w:val="auto"/>
        </w:rPr>
      </w:pPr>
      <w:r>
        <w:rPr>
          <w:rFonts w:ascii="Arial" w:cs="Arial" w:eastAsia="Arial" w:hAnsi="Arial"/>
          <w:sz w:val="18"/>
          <w:szCs w:val="18"/>
          <w:color w:val="auto"/>
        </w:rPr>
        <w:t>Olive Tree Management Inc. Pablo Acha Acha Palle Andreasen</w:t>
      </w:r>
    </w:p>
    <w:p>
      <w:pPr>
        <w:spacing w:after="0"/>
        <w:rPr>
          <w:sz w:val="20"/>
          <w:szCs w:val="20"/>
          <w:color w:val="auto"/>
        </w:rPr>
      </w:pPr>
      <w:r>
        <w:rPr>
          <w:rFonts w:ascii="Arial" w:cs="Arial" w:eastAsia="Arial" w:hAnsi="Arial"/>
          <w:sz w:val="18"/>
          <w:szCs w:val="18"/>
          <w:color w:val="auto"/>
        </w:rPr>
        <w:t>Paola Gritti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Paolo Boato</w:t>
      </w:r>
    </w:p>
    <w:p>
      <w:pPr>
        <w:spacing w:after="0" w:line="225" w:lineRule="exact"/>
        <w:rPr>
          <w:sz w:val="20"/>
          <w:szCs w:val="20"/>
          <w:color w:val="auto"/>
        </w:rPr>
      </w:pPr>
    </w:p>
    <w:p>
      <w:pPr>
        <w:ind w:right="60"/>
        <w:spacing w:after="0" w:line="563" w:lineRule="auto"/>
        <w:rPr>
          <w:sz w:val="20"/>
          <w:szCs w:val="20"/>
          <w:color w:val="auto"/>
        </w:rPr>
      </w:pPr>
      <w:r>
        <w:rPr>
          <w:rFonts w:ascii="Arial" w:cs="Arial" w:eastAsia="Arial" w:hAnsi="Arial"/>
          <w:sz w:val="16"/>
          <w:szCs w:val="16"/>
          <w:color w:val="auto"/>
        </w:rPr>
        <w:t>Patrimoine International Fund Pedro Miguel Martins Santos</w:t>
      </w:r>
    </w:p>
    <w:p>
      <w:pPr>
        <w:spacing w:after="0" w:line="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Pensionskasse HT Troplast WaG</w:t>
      </w:r>
    </w:p>
    <w:p>
      <w:pPr>
        <w:spacing w:after="0" w:line="170" w:lineRule="exact"/>
        <w:rPr>
          <w:sz w:val="20"/>
          <w:szCs w:val="20"/>
          <w:color w:val="auto"/>
        </w:rPr>
      </w:pPr>
    </w:p>
    <w:p>
      <w:pPr>
        <w:ind w:right="240"/>
        <w:spacing w:after="0" w:line="501" w:lineRule="auto"/>
        <w:rPr>
          <w:sz w:val="20"/>
          <w:szCs w:val="20"/>
          <w:color w:val="auto"/>
        </w:rPr>
      </w:pPr>
      <w:r>
        <w:rPr>
          <w:rFonts w:ascii="Arial" w:cs="Arial" w:eastAsia="Arial" w:hAnsi="Arial"/>
          <w:sz w:val="18"/>
          <w:szCs w:val="18"/>
          <w:color w:val="auto"/>
        </w:rPr>
        <w:t>Peter Joseph Dominic Kind Peter Riggelsen</w:t>
      </w:r>
    </w:p>
    <w:p>
      <w:pPr>
        <w:spacing w:after="0"/>
        <w:rPr>
          <w:sz w:val="20"/>
          <w:szCs w:val="20"/>
          <w:color w:val="auto"/>
        </w:rPr>
      </w:pPr>
      <w:r>
        <w:rPr>
          <w:rFonts w:ascii="Arial" w:cs="Arial" w:eastAsia="Arial" w:hAnsi="Arial"/>
          <w:sz w:val="18"/>
          <w:szCs w:val="18"/>
          <w:color w:val="auto"/>
        </w:rPr>
        <w:t>Pictet &amp; Cie (Europe)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Piero Ciampolini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Ferrucci Piero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Poul Nørbjerg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Prelude Opportunity Fund, LP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Privinvest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Raffaele Duino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Raimondo Iallonardo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Ramón Fernandez-Palacios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Peironcely and Maria Jesus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Gonzalez de Castejón Aritio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1,102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542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2,473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4,215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567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2,679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3,095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1,072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2,711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566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1,700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546</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110,592</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536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987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964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52,889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1,084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268</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1,102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542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2,473</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4,215</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567</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2,679</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3,095</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1,072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2,711</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566</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1,700</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546</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110,592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540"/>
        </w:trPr>
        <w:tc>
          <w:tcPr>
            <w:tcW w:w="1360" w:type="dxa"/>
            <w:vAlign w:val="bottom"/>
          </w:tcPr>
          <w:p>
            <w:pPr>
              <w:spacing w:after="0"/>
              <w:rPr>
                <w:sz w:val="20"/>
                <w:szCs w:val="20"/>
                <w:color w:val="auto"/>
              </w:rPr>
            </w:pPr>
            <w:r>
              <w:rPr>
                <w:rFonts w:ascii="Arial" w:cs="Arial" w:eastAsia="Arial" w:hAnsi="Arial"/>
                <w:sz w:val="18"/>
                <w:szCs w:val="18"/>
                <w:color w:val="auto"/>
              </w:rPr>
              <w:t>536</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3,291</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987</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2,185</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542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964</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52,889</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542</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1,084</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r>
        <w:trPr>
          <w:trHeight w:val="648"/>
        </w:trPr>
        <w:tc>
          <w:tcPr>
            <w:tcW w:w="1360" w:type="dxa"/>
            <w:vAlign w:val="bottom"/>
          </w:tcPr>
          <w:p>
            <w:pPr>
              <w:spacing w:after="0"/>
              <w:rPr>
                <w:sz w:val="20"/>
                <w:szCs w:val="20"/>
                <w:color w:val="auto"/>
              </w:rPr>
            </w:pPr>
            <w:r>
              <w:rPr>
                <w:rFonts w:ascii="Arial" w:cs="Arial" w:eastAsia="Arial" w:hAnsi="Arial"/>
                <w:sz w:val="18"/>
                <w:szCs w:val="18"/>
                <w:color w:val="auto"/>
              </w:rPr>
              <w:t>268</w:t>
            </w:r>
          </w:p>
        </w:tc>
        <w:tc>
          <w:tcPr>
            <w:tcW w:w="1920" w:type="dxa"/>
            <w:vAlign w:val="bottom"/>
          </w:tcPr>
          <w:p>
            <w:pPr>
              <w:ind w:left="800"/>
              <w:spacing w:after="0"/>
              <w:rPr>
                <w:sz w:val="20"/>
                <w:szCs w:val="20"/>
                <w:color w:val="auto"/>
              </w:rPr>
            </w:pPr>
            <w:r>
              <w:rPr>
                <w:rFonts w:ascii="Arial" w:cs="Arial" w:eastAsia="Arial" w:hAnsi="Arial"/>
                <w:sz w:val="18"/>
                <w:szCs w:val="18"/>
                <w:color w:val="auto"/>
              </w:rPr>
              <w:t>–</w:t>
            </w:r>
          </w:p>
        </w:tc>
        <w:tc>
          <w:tcPr>
            <w:tcW w:w="1120" w:type="dxa"/>
            <w:vAlign w:val="bottom"/>
          </w:tcPr>
          <w:p>
            <w:pPr>
              <w:ind w:left="1040"/>
              <w:spacing w:after="0"/>
              <w:rPr>
                <w:sz w:val="20"/>
                <w:szCs w:val="20"/>
                <w:color w:val="auto"/>
              </w:rPr>
            </w:pPr>
            <w:r>
              <w:rPr>
                <w:rFonts w:ascii="Arial" w:cs="Arial" w:eastAsia="Arial" w:hAnsi="Arial"/>
                <w:sz w:val="15"/>
                <w:szCs w:val="15"/>
                <w:color w:val="auto"/>
                <w:w w:val="71"/>
              </w:rPr>
              <w:t>–</w:t>
            </w:r>
          </w:p>
        </w:tc>
      </w:tr>
    </w:tbl>
    <w:p>
      <w:pPr>
        <w:spacing w:after="0" w:line="395" w:lineRule="exact"/>
        <w:rPr>
          <w:sz w:val="20"/>
          <w:szCs w:val="20"/>
          <w:color w:val="auto"/>
        </w:rPr>
      </w:pPr>
    </w:p>
    <w:p>
      <w:pPr>
        <w:sectPr>
          <w:pgSz w:w="11900" w:h="16838" w:orient="portrait"/>
          <w:cols w:equalWidth="0" w:num="3">
            <w:col w:w="2220" w:space="200"/>
            <w:col w:w="1440" w:space="720"/>
            <w:col w:w="6600"/>
          </w:cols>
          <w:pgMar w:left="480" w:top="121" w:right="239" w:bottom="254" w:gutter="0" w:footer="0" w:header="0"/>
          <w:type w:val="continuous"/>
        </w:sectPr>
      </w:pPr>
    </w:p>
    <w:p>
      <w:pPr>
        <w:spacing w:after="0" w:line="194" w:lineRule="exact"/>
        <w:rPr>
          <w:sz w:val="20"/>
          <w:szCs w:val="20"/>
          <w:color w:val="auto"/>
        </w:rPr>
      </w:pPr>
    </w:p>
    <w:p>
      <w:pPr>
        <w:jc w:val="center"/>
        <w:ind w:right="240"/>
        <w:spacing w:after="0"/>
        <w:rPr>
          <w:sz w:val="20"/>
          <w:szCs w:val="20"/>
          <w:color w:val="auto"/>
        </w:rPr>
      </w:pPr>
      <w:r>
        <w:rPr>
          <w:rFonts w:ascii="Arial" w:cs="Arial" w:eastAsia="Arial" w:hAnsi="Arial"/>
          <w:sz w:val="12"/>
          <w:szCs w:val="12"/>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52705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254"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582"/>
        </w:trPr>
        <w:tc>
          <w:tcPr>
            <w:tcW w:w="2420" w:type="dxa"/>
            <w:vAlign w:val="bottom"/>
            <w:gridSpan w:val="2"/>
          </w:tcPr>
          <w:p>
            <w:pPr>
              <w:spacing w:after="0"/>
              <w:rPr>
                <w:sz w:val="20"/>
                <w:szCs w:val="20"/>
                <w:color w:val="auto"/>
              </w:rPr>
            </w:pPr>
            <w:r>
              <w:rPr>
                <w:rFonts w:ascii="Arial" w:cs="Arial" w:eastAsia="Arial" w:hAnsi="Arial"/>
                <w:sz w:val="18"/>
                <w:szCs w:val="18"/>
                <w:color w:val="auto"/>
              </w:rPr>
              <w:t>Ramon Ferrer Family</w:t>
            </w:r>
            <w:r>
              <w:rPr>
                <w:rFonts w:ascii="Arial" w:cs="Arial" w:eastAsia="Arial" w:hAnsi="Arial"/>
                <w:sz w:val="30"/>
                <w:szCs w:val="30"/>
                <w:color w:val="auto"/>
                <w:vertAlign w:val="superscript"/>
              </w:rPr>
              <w:t>(16)</w:t>
            </w:r>
          </w:p>
        </w:tc>
        <w:tc>
          <w:tcPr>
            <w:tcW w:w="2040" w:type="dxa"/>
            <w:vAlign w:val="bottom"/>
          </w:tcPr>
          <w:p>
            <w:pPr>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Ramon Ortiz Saez</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Rams Cartera 2013 SICAV</w:t>
            </w:r>
          </w:p>
        </w:tc>
        <w:tc>
          <w:tcPr>
            <w:tcW w:w="2040" w:type="dxa"/>
            <w:vAlign w:val="bottom"/>
          </w:tcPr>
          <w:p>
            <w:pPr>
              <w:spacing w:after="0"/>
              <w:rPr>
                <w:sz w:val="20"/>
                <w:szCs w:val="20"/>
                <w:color w:val="auto"/>
              </w:rPr>
            </w:pPr>
            <w:r>
              <w:rPr>
                <w:rFonts w:ascii="Arial" w:cs="Arial" w:eastAsia="Arial" w:hAnsi="Arial"/>
                <w:sz w:val="18"/>
                <w:szCs w:val="18"/>
                <w:color w:val="auto"/>
              </w:rPr>
              <w:t>2,408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Remo Mariani</w:t>
            </w:r>
          </w:p>
        </w:tc>
        <w:tc>
          <w:tcPr>
            <w:tcW w:w="2040" w:type="dxa"/>
            <w:vAlign w:val="bottom"/>
          </w:tcPr>
          <w:p>
            <w:pPr>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Reyes Diaz-Alejo Corrales</w:t>
            </w:r>
          </w:p>
        </w:tc>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Rho Investments S.I.L.</w:t>
            </w:r>
          </w:p>
        </w:tc>
        <w:tc>
          <w:tcPr>
            <w:tcW w:w="2040" w:type="dxa"/>
            <w:vAlign w:val="bottom"/>
          </w:tcPr>
          <w:p>
            <w:pPr>
              <w:spacing w:after="0"/>
              <w:rPr>
                <w:sz w:val="20"/>
                <w:szCs w:val="20"/>
                <w:color w:val="auto"/>
              </w:rPr>
            </w:pPr>
            <w:r>
              <w:rPr>
                <w:rFonts w:ascii="Arial" w:cs="Arial" w:eastAsia="Arial" w:hAnsi="Arial"/>
                <w:sz w:val="18"/>
                <w:szCs w:val="18"/>
                <w:color w:val="auto"/>
              </w:rPr>
              <w:t>38,866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Ricardo Jorge Moita Santos</w:t>
            </w:r>
          </w:p>
        </w:tc>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Ricardo Jorge Neiva de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Oliveira de Aguiar Quintas</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Ricardo Jorge Rodrigues</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Seabra Goncalves</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Rincon Group Ltd.</w:t>
            </w:r>
          </w:p>
        </w:tc>
        <w:tc>
          <w:tcPr>
            <w:tcW w:w="2040" w:type="dxa"/>
            <w:vAlign w:val="bottom"/>
          </w:tcPr>
          <w:p>
            <w:pPr>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Robert Boelstler</w:t>
            </w:r>
          </w:p>
        </w:tc>
        <w:tc>
          <w:tcPr>
            <w:tcW w:w="2040" w:type="dxa"/>
            <w:vAlign w:val="bottom"/>
          </w:tcPr>
          <w:p>
            <w:pPr>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Rocimar Inversiones SICAV</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Rolf Georg Wagner</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Romano Consulting Spa</w:t>
            </w:r>
          </w:p>
        </w:tc>
        <w:tc>
          <w:tcPr>
            <w:tcW w:w="2040" w:type="dxa"/>
            <w:vAlign w:val="bottom"/>
          </w:tcPr>
          <w:p>
            <w:pPr>
              <w:spacing w:after="0"/>
              <w:rPr>
                <w:sz w:val="20"/>
                <w:szCs w:val="20"/>
                <w:color w:val="auto"/>
              </w:rPr>
            </w:pPr>
            <w:r>
              <w:rPr>
                <w:rFonts w:ascii="Arial" w:cs="Arial" w:eastAsia="Arial" w:hAnsi="Arial"/>
                <w:sz w:val="18"/>
                <w:szCs w:val="18"/>
                <w:color w:val="auto"/>
              </w:rPr>
              <w:t>38,108</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Rui António Inocêncio</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Marques</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Sas Lamazère Gestion Privée</w:t>
            </w:r>
          </w:p>
        </w:tc>
        <w:tc>
          <w:tcPr>
            <w:tcW w:w="2040" w:type="dxa"/>
            <w:vAlign w:val="bottom"/>
          </w:tcPr>
          <w:p>
            <w:pPr>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SCE Limited</w:t>
            </w:r>
          </w:p>
        </w:tc>
        <w:tc>
          <w:tcPr>
            <w:tcW w:w="2040" w:type="dxa"/>
            <w:vAlign w:val="bottom"/>
          </w:tcPr>
          <w:p>
            <w:pPr>
              <w:spacing w:after="0"/>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Sebastien Armleder</w:t>
            </w:r>
          </w:p>
        </w:tc>
        <w:tc>
          <w:tcPr>
            <w:tcW w:w="2040" w:type="dxa"/>
            <w:vAlign w:val="bottom"/>
          </w:tcPr>
          <w:p>
            <w:pPr>
              <w:spacing w:after="0"/>
              <w:rPr>
                <w:sz w:val="20"/>
                <w:szCs w:val="20"/>
                <w:color w:val="auto"/>
              </w:rPr>
            </w:pPr>
            <w:r>
              <w:rPr>
                <w:rFonts w:ascii="Arial" w:cs="Arial" w:eastAsia="Arial" w:hAnsi="Arial"/>
                <w:sz w:val="18"/>
                <w:szCs w:val="18"/>
                <w:color w:val="auto"/>
              </w:rPr>
              <w:t>27,615</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w w:val="99"/>
              </w:rPr>
              <w:t>Silver Point Capital Fund, L.P.</w:t>
            </w:r>
          </w:p>
        </w:tc>
        <w:tc>
          <w:tcPr>
            <w:tcW w:w="2040" w:type="dxa"/>
            <w:vAlign w:val="bottom"/>
          </w:tcPr>
          <w:p>
            <w:pPr>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Silver Point Capital Offshore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6,084</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Master Fund, L.P.</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Silvia Ponikvar</w:t>
            </w:r>
          </w:p>
        </w:tc>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Silvio Alberto Giovannini</w:t>
            </w:r>
          </w:p>
        </w:tc>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Société Européenne de Presse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Fiscale SEPFI</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Sorral Inversiones SICAV</w:t>
            </w: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Sothic Capital European</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Opportunities Master Fund</w:t>
            </w:r>
          </w:p>
        </w:tc>
        <w:tc>
          <w:tcPr>
            <w:tcW w:w="2040" w:type="dxa"/>
            <w:vAlign w:val="bottom"/>
          </w:tcPr>
          <w:p>
            <w:pPr>
              <w:spacing w:after="0"/>
              <w:rPr>
                <w:sz w:val="20"/>
                <w:szCs w:val="20"/>
                <w:color w:val="auto"/>
              </w:rPr>
            </w:pPr>
            <w:r>
              <w:rPr>
                <w:rFonts w:ascii="Arial" w:cs="Arial" w:eastAsia="Arial" w:hAnsi="Arial"/>
                <w:sz w:val="18"/>
                <w:szCs w:val="18"/>
                <w:color w:val="auto"/>
              </w:rPr>
              <w:t>379,543</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Limited</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Stavros Daliakopoulos</w:t>
            </w:r>
          </w:p>
        </w:tc>
        <w:tc>
          <w:tcPr>
            <w:tcW w:w="2040" w:type="dxa"/>
            <w:vAlign w:val="bottom"/>
          </w:tcPr>
          <w:p>
            <w:pPr>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Stefano Rubbiani</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326"/>
        </w:trPr>
        <w:tc>
          <w:tcPr>
            <w:tcW w:w="2420" w:type="dxa"/>
            <w:vAlign w:val="bottom"/>
            <w:gridSpan w:val="2"/>
          </w:tcPr>
          <w:p>
            <w:pPr>
              <w:spacing w:after="0"/>
              <w:rPr>
                <w:sz w:val="20"/>
                <w:szCs w:val="20"/>
                <w:color w:val="auto"/>
              </w:rPr>
            </w:pPr>
            <w:r>
              <w:rPr>
                <w:rFonts w:ascii="Arial" w:cs="Arial" w:eastAsia="Arial" w:hAnsi="Arial"/>
                <w:sz w:val="18"/>
                <w:szCs w:val="18"/>
                <w:color w:val="auto"/>
              </w:rPr>
              <w:t>Stichting Depositary APG</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vMerge w:val="restart"/>
          </w:tcPr>
          <w:p>
            <w:pPr>
              <w:spacing w:after="0"/>
              <w:rPr>
                <w:sz w:val="20"/>
                <w:szCs w:val="20"/>
                <w:color w:val="auto"/>
              </w:rPr>
            </w:pPr>
            <w:r>
              <w:rPr>
                <w:rFonts w:ascii="Arial" w:cs="Arial" w:eastAsia="Arial" w:hAnsi="Arial"/>
                <w:sz w:val="18"/>
                <w:szCs w:val="18"/>
                <w:color w:val="auto"/>
              </w:rPr>
              <w:t>Fixed Income Credits Pool</w:t>
            </w:r>
          </w:p>
        </w:tc>
        <w:tc>
          <w:tcPr>
            <w:tcW w:w="740" w:type="dxa"/>
            <w:vAlign w:val="bottom"/>
          </w:tcPr>
          <w:p>
            <w:pPr>
              <w:jc w:val="right"/>
              <w:spacing w:after="0"/>
              <w:rPr>
                <w:sz w:val="20"/>
                <w:szCs w:val="20"/>
                <w:color w:val="auto"/>
              </w:rPr>
            </w:pPr>
            <w:r>
              <w:rPr>
                <w:rFonts w:ascii="Arial" w:cs="Arial" w:eastAsia="Arial" w:hAnsi="Arial"/>
                <w:sz w:val="18"/>
                <w:szCs w:val="18"/>
                <w:color w:val="auto"/>
              </w:rPr>
              <w:t>13,554</w:t>
            </w:r>
          </w:p>
        </w:tc>
        <w:tc>
          <w:tcPr>
            <w:tcW w:w="0" w:type="dxa"/>
            <w:vAlign w:val="bottom"/>
          </w:tcPr>
          <w:p>
            <w:pPr>
              <w:spacing w:after="0"/>
              <w:rPr>
                <w:sz w:val="1"/>
                <w:szCs w:val="1"/>
                <w:color w:val="auto"/>
              </w:rPr>
            </w:pPr>
          </w:p>
        </w:tc>
      </w:tr>
      <w:tr>
        <w:trPr>
          <w:trHeight w:val="92"/>
        </w:trPr>
        <w:tc>
          <w:tcPr>
            <w:tcW w:w="21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1,659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38,866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38,108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5,382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4,987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27,615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3,890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379,543</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13,554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308" w:lineRule="exact"/>
        <w:rPr>
          <w:sz w:val="20"/>
          <w:szCs w:val="20"/>
          <w:color w:val="auto"/>
        </w:rPr>
      </w:pPr>
    </w:p>
    <w:p>
      <w:pPr>
        <w:sectPr>
          <w:pgSz w:w="11900" w:h="16838" w:orient="portrait"/>
          <w:cols w:equalWidth="0" w:num="2">
            <w:col w:w="4460" w:space="120"/>
            <w:col w:w="6600"/>
          </w:cols>
          <w:pgMar w:left="480" w:top="121" w:right="239" w:bottom="459"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45720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459"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Ordinary</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0" w:type="dxa"/>
            <w:vAlign w:val="bottom"/>
          </w:tcPr>
          <w:p>
            <w:pPr>
              <w:spacing w:after="0"/>
              <w:rPr>
                <w:sz w:val="1"/>
                <w:szCs w:val="1"/>
                <w:color w:val="auto"/>
              </w:rPr>
            </w:pPr>
          </w:p>
        </w:tc>
      </w:tr>
      <w:tr>
        <w:trPr>
          <w:trHeight w:val="206"/>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20"/>
                <w:szCs w:val="20"/>
                <w:color w:val="auto"/>
              </w:rPr>
            </w:pPr>
            <w:r>
              <w:rPr>
                <w:rFonts w:ascii="Arial" w:cs="Arial" w:eastAsia="Arial" w:hAnsi="Arial"/>
                <w:sz w:val="18"/>
                <w:szCs w:val="18"/>
                <w:b w:val="1"/>
                <w:bCs w:val="1"/>
                <w:color w:val="auto"/>
              </w:rPr>
              <w:t>Owned Prior to</w:t>
            </w:r>
          </w:p>
        </w:tc>
        <w:tc>
          <w:tcPr>
            <w:tcW w:w="0" w:type="dxa"/>
            <w:vAlign w:val="bottom"/>
          </w:tcPr>
          <w:p>
            <w:pPr>
              <w:spacing w:after="0"/>
              <w:rPr>
                <w:sz w:val="1"/>
                <w:szCs w:val="1"/>
                <w:color w:val="auto"/>
              </w:rPr>
            </w:pPr>
          </w:p>
        </w:tc>
      </w:tr>
      <w:tr>
        <w:trPr>
          <w:trHeight w:val="251"/>
        </w:trPr>
        <w:tc>
          <w:tcPr>
            <w:tcW w:w="230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Sunland Consulting, S.A.</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4"/>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Susana María del Loreto Calvo</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González-Gallarza</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6"/>
        </w:trPr>
        <w:tc>
          <w:tcPr>
            <w:tcW w:w="2420" w:type="dxa"/>
            <w:vAlign w:val="bottom"/>
            <w:gridSpan w:val="2"/>
          </w:tcPr>
          <w:p>
            <w:pPr>
              <w:spacing w:after="0"/>
              <w:rPr>
                <w:sz w:val="20"/>
                <w:szCs w:val="20"/>
                <w:color w:val="auto"/>
              </w:rPr>
            </w:pPr>
            <w:r>
              <w:rPr>
                <w:rFonts w:ascii="Arial" w:cs="Arial" w:eastAsia="Arial" w:hAnsi="Arial"/>
                <w:sz w:val="18"/>
                <w:szCs w:val="18"/>
                <w:color w:val="auto"/>
              </w:rPr>
              <w:t>Svend Olhoff</w:t>
            </w:r>
          </w:p>
        </w:tc>
        <w:tc>
          <w:tcPr>
            <w:tcW w:w="2040" w:type="dxa"/>
            <w:vAlign w:val="bottom"/>
          </w:tcPr>
          <w:p>
            <w:pPr>
              <w:spacing w:after="0"/>
              <w:rPr>
                <w:sz w:val="20"/>
                <w:szCs w:val="20"/>
                <w:color w:val="auto"/>
              </w:rPr>
            </w:pPr>
            <w:r>
              <w:rPr>
                <w:rFonts w:ascii="Arial" w:cs="Arial" w:eastAsia="Arial" w:hAnsi="Arial"/>
                <w:sz w:val="18"/>
                <w:szCs w:val="18"/>
                <w:color w:val="auto"/>
              </w:rPr>
              <w:t>3,309</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Symeon Chasanakos</w:t>
            </w:r>
          </w:p>
        </w:tc>
        <w:tc>
          <w:tcPr>
            <w:tcW w:w="2040" w:type="dxa"/>
            <w:vAlign w:val="bottom"/>
          </w:tcPr>
          <w:p>
            <w:pPr>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T&amp;F Tax and Finance Limited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as Trustee of The Rose Trust</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Talisker LTD</w:t>
            </w:r>
          </w:p>
        </w:tc>
        <w:tc>
          <w:tcPr>
            <w:tcW w:w="2040" w:type="dxa"/>
            <w:vAlign w:val="bottom"/>
          </w:tcPr>
          <w:p>
            <w:pPr>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Taurus Gestion Privee for</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Taurus Strategie and for Pim</w:t>
            </w:r>
          </w:p>
        </w:tc>
        <w:tc>
          <w:tcPr>
            <w:tcW w:w="2040" w:type="dxa"/>
            <w:vAlign w:val="bottom"/>
          </w:tcPr>
          <w:p>
            <w:pPr>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Participations Mandat 2</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TCA Event Investments Sarl</w:t>
            </w:r>
          </w:p>
        </w:tc>
        <w:tc>
          <w:tcPr>
            <w:tcW w:w="2040" w:type="dxa"/>
            <w:vAlign w:val="bottom"/>
          </w:tcPr>
          <w:p>
            <w:pPr>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TCA Opportunity Investments</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12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Sarl</w:t>
            </w:r>
          </w:p>
        </w:tc>
        <w:tc>
          <w:tcPr>
            <w:tcW w:w="2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20" w:type="dxa"/>
            <w:vAlign w:val="bottom"/>
            <w:gridSpan w:val="2"/>
            <w:vMerge w:val="continue"/>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Teresa de Tuero y de Reyna</w:t>
            </w:r>
          </w:p>
        </w:tc>
        <w:tc>
          <w:tcPr>
            <w:tcW w:w="2040" w:type="dxa"/>
            <w:vAlign w:val="bottom"/>
          </w:tcPr>
          <w:p>
            <w:pPr>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Arial" w:cs="Arial" w:eastAsia="Arial" w:hAnsi="Arial"/>
                <w:sz w:val="18"/>
                <w:szCs w:val="18"/>
                <w:color w:val="auto"/>
                <w:w w:val="96"/>
              </w:rPr>
              <w:t>The Mangrove Partners Master</w:t>
            </w:r>
          </w:p>
        </w:tc>
        <w:tc>
          <w:tcPr>
            <w:tcW w:w="2040" w:type="dxa"/>
            <w:vAlign w:val="bottom"/>
          </w:tcPr>
          <w:p>
            <w:pPr>
              <w:spacing w:after="0"/>
              <w:rPr>
                <w:sz w:val="20"/>
                <w:szCs w:val="20"/>
                <w:color w:val="auto"/>
              </w:rPr>
            </w:pPr>
            <w:r>
              <w:rPr>
                <w:rFonts w:ascii="Arial" w:cs="Arial" w:eastAsia="Arial" w:hAnsi="Arial"/>
                <w:sz w:val="18"/>
                <w:szCs w:val="18"/>
                <w:color w:val="auto"/>
              </w:rPr>
              <w:t>582,116</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Fund, Ltd.</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420" w:type="dxa"/>
            <w:vAlign w:val="bottom"/>
            <w:gridSpan w:val="2"/>
          </w:tcPr>
          <w:p>
            <w:pPr>
              <w:spacing w:after="0"/>
              <w:rPr>
                <w:sz w:val="20"/>
                <w:szCs w:val="20"/>
                <w:color w:val="auto"/>
              </w:rPr>
            </w:pPr>
            <w:r>
              <w:rPr>
                <w:rFonts w:ascii="Arial" w:cs="Arial" w:eastAsia="Arial" w:hAnsi="Arial"/>
                <w:sz w:val="18"/>
                <w:szCs w:val="18"/>
                <w:color w:val="auto"/>
              </w:rPr>
              <w:t>The Royal Bank Of Scotland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379,297</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36"/>
                <w:szCs w:val="36"/>
                <w:color w:val="auto"/>
                <w:vertAlign w:val="subscript"/>
              </w:rPr>
              <w:t>PLC</w:t>
            </w:r>
            <w:r>
              <w:rPr>
                <w:rFonts w:ascii="Arial" w:cs="Arial" w:eastAsia="Arial" w:hAnsi="Arial"/>
                <w:sz w:val="15"/>
                <w:szCs w:val="15"/>
                <w:color w:val="auto"/>
              </w:rPr>
              <w:t>(17)</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4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The Sting Trust</w:t>
            </w:r>
          </w:p>
        </w:tc>
        <w:tc>
          <w:tcPr>
            <w:tcW w:w="2040" w:type="dxa"/>
            <w:vAlign w:val="bottom"/>
          </w:tcPr>
          <w:p>
            <w:pPr>
              <w:spacing w:after="0"/>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Thibaut Sciard</w:t>
            </w:r>
          </w:p>
        </w:tc>
        <w:tc>
          <w:tcPr>
            <w:tcW w:w="2040" w:type="dxa"/>
            <w:vAlign w:val="bottom"/>
          </w:tcPr>
          <w:p>
            <w:pPr>
              <w:spacing w:after="0"/>
              <w:rPr>
                <w:sz w:val="20"/>
                <w:szCs w:val="20"/>
                <w:color w:val="auto"/>
              </w:rPr>
            </w:pPr>
            <w:r>
              <w:rPr>
                <w:rFonts w:ascii="Arial" w:cs="Arial" w:eastAsia="Arial" w:hAnsi="Arial"/>
                <w:sz w:val="18"/>
                <w:szCs w:val="18"/>
                <w:color w:val="auto"/>
              </w:rPr>
              <w:t>5,485</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Thomas Jakobsen</w:t>
            </w:r>
          </w:p>
        </w:tc>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408"/>
        </w:trPr>
        <w:tc>
          <w:tcPr>
            <w:tcW w:w="2420" w:type="dxa"/>
            <w:vAlign w:val="bottom"/>
            <w:gridSpan w:val="2"/>
          </w:tcPr>
          <w:p>
            <w:pPr>
              <w:spacing w:after="0"/>
              <w:rPr>
                <w:sz w:val="20"/>
                <w:szCs w:val="20"/>
                <w:color w:val="auto"/>
              </w:rPr>
            </w:pPr>
            <w:r>
              <w:rPr>
                <w:rFonts w:ascii="Arial" w:cs="Arial" w:eastAsia="Arial" w:hAnsi="Arial"/>
                <w:sz w:val="18"/>
                <w:szCs w:val="18"/>
                <w:color w:val="auto"/>
              </w:rPr>
              <w:t>Thrivent Financial Defined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2,435</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Benefit Plan Trust</w:t>
            </w:r>
            <w:r>
              <w:rPr>
                <w:rFonts w:ascii="Arial" w:cs="Arial" w:eastAsia="Arial" w:hAnsi="Arial"/>
                <w:sz w:val="30"/>
                <w:szCs w:val="30"/>
                <w:color w:val="auto"/>
                <w:vertAlign w:val="superscript"/>
              </w:rPr>
              <w:t>(18)</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20" w:type="dxa"/>
            <w:vAlign w:val="bottom"/>
            <w:gridSpan w:val="2"/>
          </w:tcPr>
          <w:p>
            <w:pPr>
              <w:spacing w:after="0"/>
              <w:rPr>
                <w:sz w:val="20"/>
                <w:szCs w:val="20"/>
                <w:color w:val="auto"/>
              </w:rPr>
            </w:pPr>
            <w:r>
              <w:rPr>
                <w:rFonts w:ascii="Arial" w:cs="Arial" w:eastAsia="Arial" w:hAnsi="Arial"/>
                <w:sz w:val="18"/>
                <w:szCs w:val="18"/>
                <w:color w:val="auto"/>
              </w:rPr>
              <w:t>Thrivent Financial for</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58,282</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Lutherans</w:t>
            </w:r>
            <w:r>
              <w:rPr>
                <w:rFonts w:ascii="Arial" w:cs="Arial" w:eastAsia="Arial" w:hAnsi="Arial"/>
                <w:sz w:val="30"/>
                <w:szCs w:val="30"/>
                <w:color w:val="auto"/>
                <w:vertAlign w:val="superscript"/>
              </w:rPr>
              <w:t>(19)</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Thrivent High Yield Fund</w:t>
            </w:r>
            <w:r>
              <w:rPr>
                <w:rFonts w:ascii="Arial" w:cs="Arial" w:eastAsia="Arial" w:hAnsi="Arial"/>
                <w:sz w:val="30"/>
                <w:szCs w:val="30"/>
                <w:color w:val="auto"/>
                <w:vertAlign w:val="superscript"/>
              </w:rPr>
              <w:t>(20)</w:t>
            </w:r>
          </w:p>
        </w:tc>
        <w:tc>
          <w:tcPr>
            <w:tcW w:w="2040" w:type="dxa"/>
            <w:vAlign w:val="bottom"/>
          </w:tcPr>
          <w:p>
            <w:pPr>
              <w:spacing w:after="0"/>
              <w:rPr>
                <w:sz w:val="20"/>
                <w:szCs w:val="20"/>
                <w:color w:val="auto"/>
              </w:rPr>
            </w:pPr>
            <w:r>
              <w:rPr>
                <w:rFonts w:ascii="Arial" w:cs="Arial" w:eastAsia="Arial" w:hAnsi="Arial"/>
                <w:sz w:val="18"/>
                <w:szCs w:val="18"/>
                <w:color w:val="auto"/>
              </w:rPr>
              <w:t>28,520</w:t>
            </w:r>
          </w:p>
        </w:tc>
        <w:tc>
          <w:tcPr>
            <w:tcW w:w="0" w:type="dxa"/>
            <w:vAlign w:val="bottom"/>
          </w:tcPr>
          <w:p>
            <w:pPr>
              <w:spacing w:after="0"/>
              <w:rPr>
                <w:sz w:val="1"/>
                <w:szCs w:val="1"/>
                <w:color w:val="auto"/>
              </w:rPr>
            </w:pPr>
          </w:p>
        </w:tc>
      </w:tr>
      <w:tr>
        <w:trPr>
          <w:trHeight w:val="258"/>
        </w:trPr>
        <w:tc>
          <w:tcPr>
            <w:tcW w:w="2420" w:type="dxa"/>
            <w:vAlign w:val="bottom"/>
            <w:gridSpan w:val="2"/>
          </w:tcPr>
          <w:p>
            <w:pPr>
              <w:spacing w:after="0"/>
              <w:rPr>
                <w:sz w:val="20"/>
                <w:szCs w:val="20"/>
                <w:color w:val="auto"/>
              </w:rPr>
            </w:pPr>
            <w:r>
              <w:rPr>
                <w:rFonts w:ascii="Arial" w:cs="Arial" w:eastAsia="Arial" w:hAnsi="Arial"/>
                <w:sz w:val="18"/>
                <w:szCs w:val="18"/>
                <w:color w:val="auto"/>
              </w:rPr>
              <w:t>Thrivent High Yield</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Portfolio</w:t>
            </w:r>
            <w:r>
              <w:rPr>
                <w:rFonts w:ascii="Arial" w:cs="Arial" w:eastAsia="Arial" w:hAnsi="Arial"/>
                <w:sz w:val="30"/>
                <w:szCs w:val="30"/>
                <w:color w:val="auto"/>
                <w:vertAlign w:val="superscript"/>
              </w:rPr>
              <w:t>(21)</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20" w:type="dxa"/>
            <w:vAlign w:val="bottom"/>
            <w:gridSpan w:val="2"/>
          </w:tcPr>
          <w:p>
            <w:pPr>
              <w:spacing w:after="0"/>
              <w:rPr>
                <w:sz w:val="20"/>
                <w:szCs w:val="20"/>
                <w:color w:val="auto"/>
              </w:rPr>
            </w:pPr>
            <w:r>
              <w:rPr>
                <w:rFonts w:ascii="Arial" w:cs="Arial" w:eastAsia="Arial" w:hAnsi="Arial"/>
                <w:sz w:val="18"/>
                <w:szCs w:val="18"/>
                <w:color w:val="auto"/>
              </w:rPr>
              <w:t>Thrivent Life Insurance</w:t>
            </w:r>
          </w:p>
        </w:tc>
        <w:tc>
          <w:tcPr>
            <w:tcW w:w="2040" w:type="dxa"/>
            <w:vAlign w:val="bottom"/>
            <w:vMerge w:val="restart"/>
          </w:tcPr>
          <w:p>
            <w:pPr>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132"/>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Company</w:t>
            </w:r>
            <w:r>
              <w:rPr>
                <w:rFonts w:ascii="Arial" w:cs="Arial" w:eastAsia="Arial" w:hAnsi="Arial"/>
                <w:sz w:val="30"/>
                <w:szCs w:val="30"/>
                <w:color w:val="auto"/>
                <w:vertAlign w:val="superscript"/>
              </w:rPr>
              <w:t>(21)</w:t>
            </w:r>
          </w:p>
        </w:tc>
        <w:tc>
          <w:tcPr>
            <w:tcW w:w="2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2420" w:type="dxa"/>
            <w:vAlign w:val="bottom"/>
            <w:gridSpan w:val="2"/>
            <w:vMerge w:val="continue"/>
          </w:tcPr>
          <w:p>
            <w:pPr>
              <w:spacing w:after="0"/>
              <w:rPr>
                <w:sz w:val="22"/>
                <w:szCs w:val="22"/>
                <w:color w:val="auto"/>
              </w:rPr>
            </w:pP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Triarii Capital Master Fund LP</w:t>
            </w:r>
          </w:p>
        </w:tc>
        <w:tc>
          <w:tcPr>
            <w:tcW w:w="2040" w:type="dxa"/>
            <w:vAlign w:val="bottom"/>
          </w:tcPr>
          <w:p>
            <w:pPr>
              <w:spacing w:after="0"/>
              <w:rPr>
                <w:sz w:val="20"/>
                <w:szCs w:val="20"/>
                <w:color w:val="auto"/>
              </w:rPr>
            </w:pPr>
            <w:r>
              <w:rPr>
                <w:rFonts w:ascii="Arial" w:cs="Arial" w:eastAsia="Arial" w:hAnsi="Arial"/>
                <w:sz w:val="18"/>
                <w:szCs w:val="18"/>
                <w:color w:val="auto"/>
              </w:rPr>
              <w:t>184,798</w:t>
            </w:r>
          </w:p>
        </w:tc>
        <w:tc>
          <w:tcPr>
            <w:tcW w:w="0" w:type="dxa"/>
            <w:vAlign w:val="bottom"/>
          </w:tcPr>
          <w:p>
            <w:pPr>
              <w:spacing w:after="0"/>
              <w:rPr>
                <w:sz w:val="1"/>
                <w:szCs w:val="1"/>
                <w:color w:val="auto"/>
              </w:rPr>
            </w:pPr>
          </w:p>
        </w:tc>
      </w:tr>
      <w:tr>
        <w:trPr>
          <w:trHeight w:val="486"/>
        </w:trPr>
        <w:tc>
          <w:tcPr>
            <w:tcW w:w="2420" w:type="dxa"/>
            <w:vAlign w:val="bottom"/>
            <w:gridSpan w:val="2"/>
          </w:tcPr>
          <w:p>
            <w:pPr>
              <w:spacing w:after="0"/>
              <w:rPr>
                <w:sz w:val="20"/>
                <w:szCs w:val="20"/>
                <w:color w:val="auto"/>
              </w:rPr>
            </w:pPr>
            <w:r>
              <w:rPr>
                <w:rFonts w:ascii="Arial" w:cs="Arial" w:eastAsia="Arial" w:hAnsi="Arial"/>
                <w:sz w:val="18"/>
                <w:szCs w:val="18"/>
                <w:color w:val="auto"/>
                <w:w w:val="97"/>
              </w:rPr>
              <w:t>Trinity Investments Designated</w:t>
            </w:r>
          </w:p>
        </w:tc>
        <w:tc>
          <w:tcPr>
            <w:tcW w:w="2040" w:type="dxa"/>
            <w:vAlign w:val="bottom"/>
          </w:tcPr>
          <w:p>
            <w:pPr>
              <w:spacing w:after="0"/>
              <w:rPr>
                <w:sz w:val="20"/>
                <w:szCs w:val="20"/>
                <w:color w:val="auto"/>
              </w:rPr>
            </w:pPr>
            <w:r>
              <w:rPr>
                <w:rFonts w:ascii="Arial" w:cs="Arial" w:eastAsia="Arial" w:hAnsi="Arial"/>
                <w:sz w:val="18"/>
                <w:szCs w:val="18"/>
                <w:color w:val="auto"/>
              </w:rPr>
              <w:t>737,115</w:t>
            </w:r>
          </w:p>
        </w:tc>
        <w:tc>
          <w:tcPr>
            <w:tcW w:w="0" w:type="dxa"/>
            <w:vAlign w:val="bottom"/>
          </w:tcPr>
          <w:p>
            <w:pPr>
              <w:spacing w:after="0"/>
              <w:rPr>
                <w:sz w:val="1"/>
                <w:szCs w:val="1"/>
                <w:color w:val="auto"/>
              </w:rPr>
            </w:pP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Activity Company</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4"/>
        </w:trPr>
        <w:tc>
          <w:tcPr>
            <w:tcW w:w="2420" w:type="dxa"/>
            <w:vAlign w:val="bottom"/>
            <w:gridSpan w:val="2"/>
          </w:tcPr>
          <w:p>
            <w:pPr>
              <w:spacing w:after="0"/>
              <w:rPr>
                <w:sz w:val="20"/>
                <w:szCs w:val="20"/>
                <w:color w:val="auto"/>
              </w:rPr>
            </w:pPr>
            <w:r>
              <w:rPr>
                <w:rFonts w:ascii="Arial" w:cs="Arial" w:eastAsia="Arial" w:hAnsi="Arial"/>
                <w:sz w:val="18"/>
                <w:szCs w:val="18"/>
                <w:color w:val="auto"/>
              </w:rPr>
              <w:t>UBS Limited</w:t>
            </w:r>
            <w:r>
              <w:rPr>
                <w:rFonts w:ascii="Arial" w:cs="Arial" w:eastAsia="Arial" w:hAnsi="Arial"/>
                <w:sz w:val="30"/>
                <w:szCs w:val="30"/>
                <w:color w:val="auto"/>
                <w:vertAlign w:val="superscript"/>
              </w:rPr>
              <w:t>(22)</w:t>
            </w:r>
          </w:p>
        </w:tc>
        <w:tc>
          <w:tcPr>
            <w:tcW w:w="2040" w:type="dxa"/>
            <w:vAlign w:val="bottom"/>
          </w:tcPr>
          <w:p>
            <w:pPr>
              <w:spacing w:after="0"/>
              <w:rPr>
                <w:sz w:val="20"/>
                <w:szCs w:val="20"/>
                <w:color w:val="auto"/>
              </w:rPr>
            </w:pPr>
            <w:r>
              <w:rPr>
                <w:rFonts w:ascii="Arial" w:cs="Arial" w:eastAsia="Arial" w:hAnsi="Arial"/>
                <w:sz w:val="18"/>
                <w:szCs w:val="18"/>
                <w:color w:val="auto"/>
              </w:rPr>
              <w:t>59,414</w:t>
            </w: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Umberto Giuliani</w:t>
            </w:r>
          </w:p>
        </w:tc>
        <w:tc>
          <w:tcPr>
            <w:tcW w:w="2040" w:type="dxa"/>
            <w:vAlign w:val="bottom"/>
          </w:tcPr>
          <w:p>
            <w:pPr>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582"/>
        </w:trPr>
        <w:tc>
          <w:tcPr>
            <w:tcW w:w="2420" w:type="dxa"/>
            <w:vAlign w:val="bottom"/>
            <w:gridSpan w:val="2"/>
          </w:tcPr>
          <w:p>
            <w:pPr>
              <w:spacing w:after="0"/>
              <w:rPr>
                <w:sz w:val="20"/>
                <w:szCs w:val="20"/>
                <w:color w:val="auto"/>
              </w:rPr>
            </w:pPr>
            <w:r>
              <w:rPr>
                <w:rFonts w:ascii="Arial" w:cs="Arial" w:eastAsia="Arial" w:hAnsi="Arial"/>
                <w:sz w:val="18"/>
                <w:szCs w:val="18"/>
                <w:color w:val="auto"/>
              </w:rPr>
              <w:t>Unicredit Bank AG</w:t>
            </w:r>
            <w:r>
              <w:rPr>
                <w:rFonts w:ascii="Arial" w:cs="Arial" w:eastAsia="Arial" w:hAnsi="Arial"/>
                <w:sz w:val="30"/>
                <w:szCs w:val="30"/>
                <w:color w:val="auto"/>
                <w:vertAlign w:val="superscript"/>
              </w:rPr>
              <w:t>(23)</w:t>
            </w:r>
          </w:p>
        </w:tc>
        <w:tc>
          <w:tcPr>
            <w:tcW w:w="2040" w:type="dxa"/>
            <w:vAlign w:val="bottom"/>
          </w:tcPr>
          <w:p>
            <w:pPr>
              <w:spacing w:after="0"/>
              <w:rPr>
                <w:sz w:val="20"/>
                <w:szCs w:val="20"/>
                <w:color w:val="auto"/>
              </w:rPr>
            </w:pPr>
            <w:r>
              <w:rPr>
                <w:rFonts w:ascii="Arial" w:cs="Arial" w:eastAsia="Arial" w:hAnsi="Arial"/>
                <w:sz w:val="18"/>
                <w:szCs w:val="18"/>
                <w:color w:val="auto"/>
              </w:rPr>
              <w:t>19,008</w:t>
            </w:r>
          </w:p>
        </w:tc>
        <w:tc>
          <w:tcPr>
            <w:tcW w:w="0" w:type="dxa"/>
            <w:vAlign w:val="bottom"/>
          </w:tcPr>
          <w:p>
            <w:pPr>
              <w:spacing w:after="0"/>
              <w:rPr>
                <w:sz w:val="1"/>
                <w:szCs w:val="1"/>
                <w:color w:val="auto"/>
              </w:rPr>
            </w:pPr>
          </w:p>
        </w:tc>
      </w:tr>
      <w:tr>
        <w:trPr>
          <w:trHeight w:val="282"/>
        </w:trPr>
        <w:tc>
          <w:tcPr>
            <w:tcW w:w="2420" w:type="dxa"/>
            <w:vAlign w:val="bottom"/>
            <w:gridSpan w:val="2"/>
          </w:tcPr>
          <w:p>
            <w:pPr>
              <w:spacing w:after="0"/>
              <w:rPr>
                <w:sz w:val="20"/>
                <w:szCs w:val="20"/>
                <w:color w:val="auto"/>
              </w:rPr>
            </w:pPr>
            <w:r>
              <w:rPr>
                <w:rFonts w:ascii="Arial" w:cs="Arial" w:eastAsia="Arial" w:hAnsi="Arial"/>
                <w:sz w:val="18"/>
                <w:szCs w:val="18"/>
                <w:color w:val="auto"/>
              </w:rPr>
              <w:t>Vera Lucia Cardoso</w:t>
            </w:r>
          </w:p>
        </w:tc>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Vilata Darder Holding SL</w:t>
            </w:r>
          </w:p>
        </w:tc>
        <w:tc>
          <w:tcPr>
            <w:tcW w:w="2040" w:type="dxa"/>
            <w:vAlign w:val="bottom"/>
          </w:tcPr>
          <w:p>
            <w:pPr>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5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Offered</w:t>
            </w:r>
          </w:p>
        </w:tc>
        <w:tc>
          <w:tcPr>
            <w:tcW w:w="120" w:type="dxa"/>
            <w:vAlign w:val="bottom"/>
          </w:tcPr>
          <w:p>
            <w:pPr>
              <w:spacing w:after="0"/>
              <w:rPr>
                <w:sz w:val="21"/>
                <w:szCs w:val="21"/>
                <w:color w:val="auto"/>
              </w:rPr>
            </w:pPr>
          </w:p>
        </w:tc>
        <w:tc>
          <w:tcPr>
            <w:tcW w:w="204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120" w:type="dxa"/>
            <w:vAlign w:val="bottom"/>
          </w:tcPr>
          <w:p>
            <w:pPr>
              <w:spacing w:after="0"/>
              <w:rPr>
                <w:sz w:val="21"/>
                <w:szCs w:val="21"/>
                <w:color w:val="auto"/>
              </w:rPr>
            </w:pPr>
          </w:p>
        </w:tc>
        <w:tc>
          <w:tcPr>
            <w:tcW w:w="2280" w:type="dxa"/>
            <w:vAlign w:val="bottom"/>
            <w:tcBorders>
              <w:bottom w:val="single" w:sz="8" w:color="auto"/>
            </w:tcBorders>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3,309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2,864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4,420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12,648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1,651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582,116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379,297</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58,282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28,520</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33,059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648"/>
        </w:trPr>
        <w:tc>
          <w:tcPr>
            <w:tcW w:w="2040" w:type="dxa"/>
            <w:vAlign w:val="bottom"/>
          </w:tcPr>
          <w:p>
            <w:pPr>
              <w:spacing w:after="0"/>
              <w:rPr>
                <w:sz w:val="20"/>
                <w:szCs w:val="20"/>
                <w:color w:val="auto"/>
              </w:rPr>
            </w:pPr>
            <w:r>
              <w:rPr>
                <w:rFonts w:ascii="Arial" w:cs="Arial" w:eastAsia="Arial" w:hAnsi="Arial"/>
                <w:sz w:val="18"/>
                <w:szCs w:val="18"/>
                <w:color w:val="auto"/>
              </w:rPr>
              <w:t>4,488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184,798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737,115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540"/>
        </w:trPr>
        <w:tc>
          <w:tcPr>
            <w:tcW w:w="2040" w:type="dxa"/>
            <w:vAlign w:val="bottom"/>
          </w:tcPr>
          <w:p>
            <w:pPr>
              <w:spacing w:after="0"/>
              <w:rPr>
                <w:sz w:val="20"/>
                <w:szCs w:val="20"/>
                <w:color w:val="auto"/>
              </w:rPr>
            </w:pPr>
            <w:r>
              <w:rPr>
                <w:rFonts w:ascii="Arial" w:cs="Arial" w:eastAsia="Arial" w:hAnsi="Arial"/>
                <w:sz w:val="18"/>
                <w:szCs w:val="18"/>
                <w:color w:val="auto"/>
              </w:rPr>
              <w:t>59,414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1,455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19,008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040" w:type="dxa"/>
            <w:vAlign w:val="bottom"/>
          </w:tcPr>
          <w:p>
            <w:pPr>
              <w:spacing w:after="0"/>
              <w:rPr>
                <w:sz w:val="20"/>
                <w:szCs w:val="20"/>
                <w:color w:val="auto"/>
              </w:rPr>
            </w:pPr>
            <w:r>
              <w:rPr>
                <w:rFonts w:ascii="Arial" w:cs="Arial" w:eastAsia="Arial" w:hAnsi="Arial"/>
                <w:sz w:val="18"/>
                <w:szCs w:val="18"/>
                <w:color w:val="auto"/>
              </w:rPr>
              <w:t>3,544</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4460" w:space="120"/>
            <w:col w:w="6600"/>
          </w:cols>
          <w:pgMar w:left="480" w:top="121" w:right="239" w:bottom="26" w:gutter="0" w:footer="0" w:header="0"/>
        </w:sectPr>
      </w:pPr>
    </w:p>
    <w:p>
      <w:pPr>
        <w:spacing w:after="0" w:line="173"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45720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80"/>
          </w:cols>
          <w:pgMar w:left="480" w:top="121" w:right="239" w:bottom="26" w:gutter="0" w:footer="0" w:header="0"/>
          <w:type w:val="continuous"/>
        </w:sectPr>
      </w:pPr>
    </w:p>
    <w:bookmarkStart w:id="18" w:name="page19"/>
    <w:bookmarkEnd w:id="18"/>
    <w:tbl>
      <w:tblPr>
        <w:tblLayout w:type="fixed"/>
        <w:tblInd w:w="24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 of</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Ordinary</w:t>
            </w: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Shares</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Maximum Number</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Number of</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Percentage of</w:t>
            </w:r>
          </w:p>
        </w:tc>
      </w:tr>
      <w:tr>
        <w:trPr>
          <w:trHeight w:val="216"/>
        </w:trPr>
        <w:tc>
          <w:tcPr>
            <w:tcW w:w="2300" w:type="dxa"/>
            <w:vAlign w:val="bottom"/>
          </w:tcPr>
          <w:p>
            <w:pPr>
              <w:spacing w:after="0"/>
              <w:rPr>
                <w:sz w:val="18"/>
                <w:szCs w:val="18"/>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Beneficially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 Ordinary</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Ordinary Shares</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Ordinary Shares</w:t>
            </w:r>
          </w:p>
        </w:tc>
      </w:tr>
      <w:tr>
        <w:trPr>
          <w:trHeight w:val="206"/>
        </w:trPr>
        <w:tc>
          <w:tcPr>
            <w:tcW w:w="2300" w:type="dxa"/>
            <w:vAlign w:val="bottom"/>
          </w:tcPr>
          <w:p>
            <w:pPr>
              <w:spacing w:after="0"/>
              <w:rPr>
                <w:sz w:val="17"/>
                <w:szCs w:val="17"/>
                <w:color w:val="auto"/>
              </w:rPr>
            </w:pPr>
          </w:p>
        </w:tc>
        <w:tc>
          <w:tcPr>
            <w:tcW w:w="2280" w:type="dxa"/>
            <w:vAlign w:val="bottom"/>
            <w:gridSpan w:val="3"/>
          </w:tcPr>
          <w:p>
            <w:pPr>
              <w:ind w:left="120"/>
              <w:spacing w:after="0"/>
              <w:rPr>
                <w:sz w:val="20"/>
                <w:szCs w:val="20"/>
                <w:color w:val="auto"/>
              </w:rPr>
            </w:pPr>
            <w:r>
              <w:rPr>
                <w:rFonts w:ascii="Arial" w:cs="Arial" w:eastAsia="Arial" w:hAnsi="Arial"/>
                <w:sz w:val="18"/>
                <w:szCs w:val="18"/>
                <w:b w:val="1"/>
                <w:bCs w:val="1"/>
                <w:color w:val="auto"/>
              </w:rPr>
              <w:t>Owned Prior to</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Shares to be</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Beneficially Owned</w:t>
            </w:r>
          </w:p>
        </w:tc>
        <w:tc>
          <w:tcPr>
            <w:tcW w:w="2280" w:type="dxa"/>
            <w:vAlign w:val="bottom"/>
          </w:tcPr>
          <w:p>
            <w:pPr>
              <w:spacing w:after="0"/>
              <w:rPr>
                <w:sz w:val="20"/>
                <w:szCs w:val="20"/>
                <w:color w:val="auto"/>
              </w:rPr>
            </w:pPr>
            <w:r>
              <w:rPr>
                <w:rFonts w:ascii="Arial" w:cs="Arial" w:eastAsia="Arial" w:hAnsi="Arial"/>
                <w:sz w:val="18"/>
                <w:szCs w:val="18"/>
                <w:b w:val="1"/>
                <w:bCs w:val="1"/>
                <w:color w:val="auto"/>
              </w:rPr>
              <w:t>Beneficially Owned</w:t>
            </w:r>
          </w:p>
        </w:tc>
      </w:tr>
      <w:tr>
        <w:trPr>
          <w:trHeight w:val="244"/>
        </w:trPr>
        <w:tc>
          <w:tcPr>
            <w:tcW w:w="2300" w:type="dxa"/>
            <w:vAlign w:val="bottom"/>
          </w:tcPr>
          <w:p>
            <w:pPr>
              <w:spacing w:after="0" w:line="245" w:lineRule="exact"/>
              <w:rPr>
                <w:sz w:val="20"/>
                <w:szCs w:val="20"/>
                <w:color w:val="auto"/>
              </w:rPr>
            </w:pPr>
            <w:r>
              <w:rPr>
                <w:rFonts w:ascii="Arial" w:cs="Arial" w:eastAsia="Arial" w:hAnsi="Arial"/>
                <w:sz w:val="17"/>
                <w:szCs w:val="17"/>
                <w:b w:val="1"/>
                <w:bCs w:val="1"/>
                <w:color w:val="auto"/>
              </w:rPr>
              <w:t>Selling Shareholder</w:t>
            </w:r>
            <w:r>
              <w:rPr>
                <w:rFonts w:ascii="Arial" w:cs="Arial" w:eastAsia="Arial" w:hAnsi="Arial"/>
                <w:sz w:val="28"/>
                <w:szCs w:val="28"/>
                <w:b w:val="1"/>
                <w:bCs w:val="1"/>
                <w:color w:val="auto"/>
                <w:vertAlign w:val="superscript"/>
              </w:rPr>
              <w:t>(1)</w:t>
            </w:r>
          </w:p>
        </w:tc>
        <w:tc>
          <w:tcPr>
            <w:tcW w:w="2280" w:type="dxa"/>
            <w:vAlign w:val="bottom"/>
            <w:gridSpan w:val="3"/>
          </w:tcPr>
          <w:p>
            <w:pPr>
              <w:ind w:left="120"/>
              <w:spacing w:after="0" w:line="245" w:lineRule="exact"/>
              <w:rPr>
                <w:sz w:val="20"/>
                <w:szCs w:val="20"/>
                <w:color w:val="auto"/>
              </w:rPr>
            </w:pPr>
            <w:r>
              <w:rPr>
                <w:rFonts w:ascii="Arial" w:cs="Arial" w:eastAsia="Arial" w:hAnsi="Arial"/>
                <w:sz w:val="17"/>
                <w:szCs w:val="17"/>
                <w:b w:val="1"/>
                <w:bCs w:val="1"/>
                <w:color w:val="auto"/>
              </w:rPr>
              <w:t>the Offering</w:t>
            </w:r>
            <w:r>
              <w:rPr>
                <w:rFonts w:ascii="Arial" w:cs="Arial" w:eastAsia="Arial" w:hAnsi="Arial"/>
                <w:sz w:val="28"/>
                <w:szCs w:val="28"/>
                <w:b w:val="1"/>
                <w:bCs w:val="1"/>
                <w:color w:val="auto"/>
                <w:vertAlign w:val="superscript"/>
              </w:rPr>
              <w:t>(2)</w:t>
            </w:r>
          </w:p>
        </w:tc>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Offered</w:t>
            </w:r>
          </w:p>
        </w:tc>
        <w:tc>
          <w:tcPr>
            <w:tcW w:w="2160" w:type="dxa"/>
            <w:vAlign w:val="bottom"/>
            <w:gridSpan w:val="2"/>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(3)</w:t>
            </w:r>
          </w:p>
        </w:tc>
        <w:tc>
          <w:tcPr>
            <w:tcW w:w="2280" w:type="dxa"/>
            <w:vAlign w:val="bottom"/>
          </w:tcPr>
          <w:p>
            <w:pPr>
              <w:spacing w:after="0" w:line="245" w:lineRule="exact"/>
              <w:rPr>
                <w:sz w:val="20"/>
                <w:szCs w:val="20"/>
                <w:color w:val="auto"/>
              </w:rPr>
            </w:pPr>
            <w:r>
              <w:rPr>
                <w:rFonts w:ascii="Arial" w:cs="Arial" w:eastAsia="Arial" w:hAnsi="Arial"/>
                <w:sz w:val="17"/>
                <w:szCs w:val="17"/>
                <w:b w:val="1"/>
                <w:bCs w:val="1"/>
                <w:color w:val="auto"/>
              </w:rPr>
              <w:t>After the Offering</w:t>
            </w:r>
            <w:r>
              <w:rPr>
                <w:rFonts w:ascii="Arial" w:cs="Arial" w:eastAsia="Arial" w:hAnsi="Arial"/>
                <w:sz w:val="28"/>
                <w:szCs w:val="28"/>
                <w:b w:val="1"/>
                <w:bCs w:val="1"/>
                <w:color w:val="auto"/>
                <w:vertAlign w:val="superscript"/>
              </w:rPr>
              <w:t>(4)</w:t>
            </w:r>
          </w:p>
        </w:tc>
      </w:tr>
      <w:tr>
        <w:trPr>
          <w:trHeight w:val="27"/>
        </w:trPr>
        <w:tc>
          <w:tcPr>
            <w:tcW w:w="2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shd w:val="clear" w:color="auto" w:fill="000000"/>
          </w:tcPr>
          <w:p>
            <w:pPr>
              <w:spacing w:after="0"/>
              <w:rPr>
                <w:sz w:val="2"/>
                <w:szCs w:val="2"/>
                <w:color w:val="auto"/>
              </w:rPr>
            </w:pP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w w:val="99"/>
              </w:rPr>
              <w:t>Vincent Claude Paul Pacaud</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Vicente Dominguez Perez</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Virginia Fillat Mas</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Wolfgang Abfalterer</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r>
        <w:trPr>
          <w:trHeight w:val="432"/>
        </w:trPr>
        <w:tc>
          <w:tcPr>
            <w:tcW w:w="2300" w:type="dxa"/>
            <w:vAlign w:val="bottom"/>
          </w:tcPr>
          <w:p>
            <w:pPr>
              <w:spacing w:after="0"/>
              <w:rPr>
                <w:sz w:val="20"/>
                <w:szCs w:val="20"/>
                <w:color w:val="auto"/>
              </w:rPr>
            </w:pPr>
            <w:r>
              <w:rPr>
                <w:rFonts w:ascii="Arial" w:cs="Arial" w:eastAsia="Arial" w:hAnsi="Arial"/>
                <w:sz w:val="18"/>
                <w:szCs w:val="18"/>
                <w:color w:val="auto"/>
              </w:rPr>
              <w:t>Xeni Petropoulaki</w:t>
            </w:r>
          </w:p>
        </w:tc>
        <w:tc>
          <w:tcPr>
            <w:tcW w:w="2160" w:type="dxa"/>
            <w:vAlign w:val="bottom"/>
            <w:gridSpan w:val="2"/>
          </w:tcPr>
          <w:p>
            <w:pPr>
              <w:ind w:lef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380" w:right="860" w:hanging="372"/>
        <w:spacing w:after="0" w:line="258"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regarding the selling shareholders may change from time to time. Any such changed information will be set forth in a prospectus supplement if required.</w:t>
      </w:r>
    </w:p>
    <w:p>
      <w:pPr>
        <w:spacing w:after="0" w:line="1" w:lineRule="exact"/>
        <w:rPr>
          <w:rFonts w:ascii="Arial" w:cs="Arial" w:eastAsia="Arial" w:hAnsi="Arial"/>
          <w:sz w:val="18"/>
          <w:szCs w:val="18"/>
          <w:color w:val="auto"/>
        </w:rPr>
      </w:pPr>
    </w:p>
    <w:p>
      <w:pPr>
        <w:ind w:left="380" w:right="14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event the Pledged Shares covered by the Prospectus and this prospectus supplement are foreclosed on, the selling shareholders listed in this table will be deemed to be beneficial owners with respect to such Pledged Shares as listed here.</w:t>
      </w: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Assumes the selling shareholder sells all of its ordinary shares offered pursuant to this prospectus supplement.</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a total of 100,217,260 ordinary shares outstanding as of April 11, 2017.</w:t>
      </w:r>
    </w:p>
    <w:p>
      <w:pPr>
        <w:spacing w:after="0" w:line="9" w:lineRule="exact"/>
        <w:rPr>
          <w:rFonts w:ascii="Arial" w:cs="Arial" w:eastAsia="Arial" w:hAnsi="Arial"/>
          <w:sz w:val="18"/>
          <w:szCs w:val="18"/>
          <w:color w:val="auto"/>
        </w:rPr>
      </w:pPr>
    </w:p>
    <w:p>
      <w:pPr>
        <w:ind w:left="380" w:right="40" w:hanging="372"/>
        <w:spacing w:after="0" w:line="265"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been advised that Aldwych Investors II S.à r.l. is managed by KKR Credit Fund Advisors LLC which, in turn, is a wholly owned subsidiary of KKR Credit Advisors (US) LLC, an investment advisor registered with the US Securities and Exchange Commission (SEC). KKR Credit Advisors (US) LLC is an affiliate of the following registered broker dealer entities: (i) KKR Capital Markets LLC which is a broker dealer registered with the SEC; (ii) KKR Capital Markets Japan Limited which is a broker dealer registered with the Financial Services Authority of Japan; and (iii) KKR Capital Markets Limited which is a broker dealer registered with the UK Financial Conduct Authority.</w:t>
      </w:r>
    </w:p>
    <w:p>
      <w:pPr>
        <w:spacing w:after="0" w:line="1" w:lineRule="exact"/>
        <w:rPr>
          <w:rFonts w:ascii="Arial" w:cs="Arial" w:eastAsia="Arial" w:hAnsi="Arial"/>
          <w:sz w:val="17"/>
          <w:szCs w:val="17"/>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Finantia USA LTD is an indirectly wholly owned subsidiary of the selling shareholder.</w:t>
      </w:r>
    </w:p>
    <w:p>
      <w:pPr>
        <w:spacing w:after="0" w:line="9" w:lineRule="exact"/>
        <w:rPr>
          <w:rFonts w:ascii="Arial" w:cs="Arial" w:eastAsia="Arial" w:hAnsi="Arial"/>
          <w:sz w:val="18"/>
          <w:szCs w:val="18"/>
          <w:color w:val="auto"/>
        </w:rPr>
      </w:pPr>
    </w:p>
    <w:p>
      <w:pPr>
        <w:ind w:left="380" w:right="20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cannot confirm if their officers, directors or principal equity holders have had any material relationship with Atlantica Yield within the past three years. The selling shareholder has indicated it is involved in certain project finance entered into by CaixaBank, S.A. in its ordinary course of business in favour of subsidiaries of Atlantica Yield.</w:t>
      </w:r>
    </w:p>
    <w:p>
      <w:pPr>
        <w:spacing w:after="0" w:line="1" w:lineRule="exact"/>
        <w:rPr>
          <w:rFonts w:ascii="Arial" w:cs="Arial" w:eastAsia="Arial" w:hAnsi="Arial"/>
          <w:sz w:val="18"/>
          <w:szCs w:val="18"/>
          <w:color w:val="auto"/>
        </w:rPr>
      </w:pPr>
    </w:p>
    <w:p>
      <w:pPr>
        <w:ind w:left="380" w:right="16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an affiliate of CP Investments LLC, a broker-dealer. Canyon Partners, LLC owns all of the limited liability company interests in CP Investments LLC and is also the majority owner of Canyon Capital Advisors LLC. Canyon Capital Advisors LLC is the Investment Advisor to the selling shareholder.</w:t>
      </w:r>
    </w:p>
    <w:p>
      <w:pPr>
        <w:spacing w:after="0" w:line="1" w:lineRule="exact"/>
        <w:rPr>
          <w:rFonts w:ascii="Arial" w:cs="Arial" w:eastAsia="Arial" w:hAnsi="Arial"/>
          <w:sz w:val="18"/>
          <w:szCs w:val="18"/>
          <w:color w:val="auto"/>
        </w:rPr>
      </w:pPr>
    </w:p>
    <w:p>
      <w:pPr>
        <w:ind w:left="380" w:right="1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Citadel Equity Fund Ltd shares common beneficial ownership with a registered broker-dealer. The entities are separately controlled and there are strict information barriers between them. The affiliated broker-dealer does not execute trades on behalf of Citadel Equity Fund Ltd.</w:t>
      </w:r>
    </w:p>
    <w:p>
      <w:pPr>
        <w:spacing w:after="0" w:line="1" w:lineRule="exact"/>
        <w:rPr>
          <w:rFonts w:ascii="Arial" w:cs="Arial" w:eastAsia="Arial" w:hAnsi="Arial"/>
          <w:sz w:val="18"/>
          <w:szCs w:val="18"/>
          <w:color w:val="auto"/>
        </w:rPr>
      </w:pPr>
    </w:p>
    <w:p>
      <w:pPr>
        <w:ind w:left="3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an affiliate of two U.S. registered broker-dealers, neither of which will be involved in the offering or registration of the Pledged Shares.</w:t>
      </w:r>
    </w:p>
    <w:p>
      <w:pPr>
        <w:ind w:left="380" w:right="6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an affiliate of the selling shareholder is a lender to an affiliate of Atlantica Yield under two secured term facility agreements entered into in March 2016 and September 2016, respectively. The selling shareholder and certain of its affiliates hold debt instruments issued by Abengoa S.A, and/or its affiliates and have committed (subject to the terms and conditions set out in the relevant documentation) to participate in the restructuring of indebtedness of Abengoa S.A. and its affiliates, including through the provision of new money financing. Certain affiliates of the selling shareholder hold interests in equity securities of Atlantica Yield and/or Abengoa S.A.</w:t>
      </w:r>
    </w:p>
    <w:p>
      <w:pPr>
        <w:spacing w:after="0" w:line="2"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has indicated that he is an employee of Atlantica Yield.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the direct owner and sole shareholder of Exane Inc., a broker-dealer.</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been advised that the selling shareholder is an affiliate of Goldman Sachs, &amp; Co. and Goldman Sachs International, broker-dealers.</w:t>
      </w:r>
    </w:p>
    <w:p>
      <w:pPr>
        <w:spacing w:after="0" w:line="20" w:lineRule="exact"/>
        <w:rPr>
          <w:rFonts w:ascii="Arial" w:cs="Arial" w:eastAsia="Arial" w:hAnsi="Arial"/>
          <w:sz w:val="17"/>
          <w:szCs w:val="17"/>
          <w:color w:val="auto"/>
        </w:rPr>
      </w:pPr>
    </w:p>
    <w:p>
      <w:pPr>
        <w:ind w:left="380" w:right="12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U.S. affiliated entity of the selling shareholder, “J.P. Morgan Securities LLC” is a registered broker-dealer but the selling shareholder’s business does not use that legal entity.</w:t>
      </w:r>
    </w:p>
    <w:p>
      <w:pPr>
        <w:ind w:left="380" w:right="18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a family group composed by 5 natural persons: Miguel Ramon Carcelle, Caridad Ferrer Bonafont, Miguel Ramon Ferrer, Caridad Ramon Ferrer and Vicente Ramon Ferrer.</w:t>
      </w: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RBS Securities, Inc., a U.S. registered broker-dealer, is an indirect wholly-owned subsidiary of the selling shareholder.</w:t>
      </w:r>
    </w:p>
    <w:p>
      <w:pPr>
        <w:spacing w:after="0" w:line="9" w:lineRule="exact"/>
        <w:rPr>
          <w:rFonts w:ascii="Arial" w:cs="Arial" w:eastAsia="Arial" w:hAnsi="Arial"/>
          <w:sz w:val="18"/>
          <w:szCs w:val="18"/>
          <w:color w:val="auto"/>
        </w:rPr>
      </w:pPr>
    </w:p>
    <w:p>
      <w:pPr>
        <w:ind w:left="380" w:right="26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the defined benefit plan for Thrivent Financial for Lutherans. Thrivent Financial for Lutherans is also the ultimate parent company of Thrivent Investment Management Inc., a registered broker-dealer.</w:t>
      </w: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Thrivent Management Inc, a subsidiary of Thrivent Financial for Lutherans is a registered broker-dealer.</w:t>
      </w:r>
    </w:p>
    <w:p>
      <w:pPr>
        <w:spacing w:after="0" w:line="9" w:lineRule="exact"/>
        <w:rPr>
          <w:rFonts w:ascii="Arial" w:cs="Arial" w:eastAsia="Arial" w:hAnsi="Arial"/>
          <w:sz w:val="18"/>
          <w:szCs w:val="18"/>
          <w:color w:val="auto"/>
        </w:rPr>
      </w:pPr>
    </w:p>
    <w:p>
      <w:pPr>
        <w:ind w:left="380" w:right="140" w:hanging="372"/>
        <w:spacing w:after="0" w:line="265" w:lineRule="auto"/>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have been advised that Thrivent Financial for Lutherans, the ultimate parent company of Thrivent Asset Management, LLC (the investment adviser for the selling shareholder), is also the parent company of Thrivent Investment Management Inc., a registered broker-dealer.</w:t>
      </w:r>
    </w:p>
    <w:p>
      <w:pPr>
        <w:ind w:left="380" w:right="30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Thrivent Financial for Lutherans, the investment adviser of the selling shareholder, is also the ultimate parent company of Thrivent Investment Management Inc., a registered broker-dealer.</w:t>
      </w:r>
    </w:p>
    <w:p>
      <w:pPr>
        <w:ind w:left="380" w:right="160" w:hanging="372"/>
        <w:spacing w:after="0" w:line="250"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under common control with UBS Securities LLC and UBS Financial Services, Inc., each of which is a registered broker-dealer.</w:t>
      </w:r>
    </w:p>
    <w:p>
      <w:pPr>
        <w:ind w:left="380" w:right="500" w:hanging="372"/>
        <w:spacing w:after="0" w:line="261" w:lineRule="auto"/>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been advised that the selling shareholder is the sole owner of a holding company which owns the U.S. registered broker-dealer UniCredit Capital Markets LLC.</w:t>
      </w:r>
    </w:p>
    <w:p>
      <w:pPr>
        <w:spacing w:after="0" w:line="211" w:lineRule="exact"/>
        <w:rPr>
          <w:sz w:val="20"/>
          <w:szCs w:val="20"/>
          <w:color w:val="auto"/>
        </w:rPr>
      </w:pPr>
    </w:p>
    <w:p>
      <w:pPr>
        <w:jc w:val="both"/>
        <w:ind w:firstLine="388"/>
        <w:spacing w:after="0" w:line="259" w:lineRule="auto"/>
        <w:rPr>
          <w:sz w:val="20"/>
          <w:szCs w:val="20"/>
          <w:color w:val="auto"/>
        </w:rPr>
      </w:pPr>
      <w:r>
        <w:rPr>
          <w:rFonts w:ascii="Arial" w:cs="Arial" w:eastAsia="Arial" w:hAnsi="Arial"/>
          <w:sz w:val="18"/>
          <w:szCs w:val="18"/>
          <w:color w:val="auto"/>
        </w:rPr>
        <w:t>In addition, under the restructuring and lending arrangement, under certain circumstances Luxco 1 may sell, or may be required to sell the Pledged Shares. Accordingly, Luxco 1 may also sell the Pledged Shares pursuant to this prospectus supplement and the Prospectus in connection with such sales. To the extent such sales occur, Luxco 1 will be the selling shareholder and the lenders and noteholders listed in the table above will not be the selling shareholders.</w:t>
      </w:r>
    </w:p>
    <w:p>
      <w:pPr>
        <w:sectPr>
          <w:pgSz w:w="11900" w:h="16838" w:orient="portrait"/>
          <w:cols w:equalWidth="0" w:num="1">
            <w:col w:w="11420"/>
          </w:cols>
          <w:pgMar w:left="240" w:top="121" w:right="239" w:bottom="648"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648"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Ordinary</w:t>
            </w: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3"/>
              </w:rPr>
              <w:t>Shares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Maximum Number</w:t>
            </w:r>
          </w:p>
        </w:tc>
        <w:tc>
          <w:tcPr>
            <w:tcW w:w="10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of Ordinary</w:t>
            </w:r>
          </w:p>
        </w:tc>
        <w:tc>
          <w:tcPr>
            <w:tcW w:w="10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Ordinary Shares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Ordinary Shares</w:t>
            </w:r>
          </w:p>
        </w:tc>
      </w:tr>
      <w:tr>
        <w:trPr>
          <w:trHeight w:val="206"/>
        </w:trPr>
        <w:tc>
          <w:tcPr>
            <w:tcW w:w="4740" w:type="dxa"/>
            <w:vAlign w:val="bottom"/>
          </w:tcPr>
          <w:p>
            <w:pPr>
              <w:spacing w:after="0"/>
              <w:rPr>
                <w:sz w:val="17"/>
                <w:szCs w:val="17"/>
                <w:color w:val="auto"/>
              </w:rPr>
            </w:pP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Owned Prior to</w:t>
            </w: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to be</w:t>
            </w:r>
          </w:p>
        </w:tc>
        <w:tc>
          <w:tcPr>
            <w:tcW w:w="100" w:type="dxa"/>
            <w:vAlign w:val="bottom"/>
          </w:tcPr>
          <w:p>
            <w:pPr>
              <w:spacing w:after="0"/>
              <w:rPr>
                <w:sz w:val="17"/>
                <w:szCs w:val="17"/>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Beneficially Owned</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Beneficially Owned</w:t>
            </w:r>
          </w:p>
        </w:tc>
      </w:tr>
      <w:tr>
        <w:trPr>
          <w:trHeight w:val="251"/>
        </w:trPr>
        <w:tc>
          <w:tcPr>
            <w:tcW w:w="4740" w:type="dxa"/>
            <w:vAlign w:val="bottom"/>
          </w:tcPr>
          <w:p>
            <w:pPr>
              <w:spacing w:after="0"/>
              <w:rPr>
                <w:sz w:val="20"/>
                <w:szCs w:val="20"/>
                <w:color w:val="auto"/>
              </w:rPr>
            </w:pPr>
            <w:r>
              <w:rPr>
                <w:rFonts w:ascii="Arial" w:cs="Arial" w:eastAsia="Arial" w:hAnsi="Arial"/>
                <w:sz w:val="18"/>
                <w:szCs w:val="18"/>
                <w:b w:val="1"/>
                <w:bCs w:val="1"/>
                <w:color w:val="auto"/>
              </w:rPr>
              <w:t>Selling Shareholder</w:t>
            </w:r>
          </w:p>
        </w:tc>
        <w:tc>
          <w:tcPr>
            <w:tcW w:w="120" w:type="dxa"/>
            <w:vAlign w:val="bottom"/>
          </w:tcPr>
          <w:p>
            <w:pPr>
              <w:spacing w:after="0"/>
              <w:rPr>
                <w:sz w:val="21"/>
                <w:szCs w:val="21"/>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the Offering</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Offered</w:t>
            </w:r>
          </w:p>
        </w:tc>
        <w:tc>
          <w:tcPr>
            <w:tcW w:w="1880" w:type="dxa"/>
            <w:vAlign w:val="bottom"/>
            <w:gridSpan w:val="3"/>
          </w:tcPr>
          <w:p>
            <w:pPr>
              <w:jc w:val="center"/>
              <w:ind w:right="100"/>
              <w:spacing w:after="0" w:line="245" w:lineRule="exact"/>
              <w:rPr>
                <w:sz w:val="20"/>
                <w:szCs w:val="20"/>
                <w:color w:val="auto"/>
              </w:rPr>
            </w:pPr>
            <w:r>
              <w:rPr>
                <w:rFonts w:ascii="Arial" w:cs="Arial" w:eastAsia="Arial" w:hAnsi="Arial"/>
                <w:sz w:val="17"/>
                <w:szCs w:val="17"/>
                <w:b w:val="1"/>
                <w:bCs w:val="1"/>
                <w:color w:val="auto"/>
                <w:w w:val="96"/>
              </w:rPr>
              <w:t>After the Offering</w:t>
            </w:r>
            <w:r>
              <w:rPr>
                <w:rFonts w:ascii="Arial" w:cs="Arial" w:eastAsia="Arial" w:hAnsi="Arial"/>
                <w:sz w:val="28"/>
                <w:szCs w:val="28"/>
                <w:b w:val="1"/>
                <w:bCs w:val="1"/>
                <w:color w:val="auto"/>
                <w:w w:val="96"/>
                <w:vertAlign w:val="superscript"/>
              </w:rPr>
              <w:t>(1)</w:t>
            </w:r>
          </w:p>
        </w:tc>
        <w:tc>
          <w:tcPr>
            <w:tcW w:w="1680" w:type="dxa"/>
            <w:vAlign w:val="bottom"/>
            <w:gridSpan w:val="2"/>
          </w:tcPr>
          <w:p>
            <w:pPr>
              <w:jc w:val="center"/>
              <w:ind w:right="100"/>
              <w:spacing w:after="0" w:line="245" w:lineRule="exact"/>
              <w:rPr>
                <w:sz w:val="20"/>
                <w:szCs w:val="20"/>
                <w:color w:val="auto"/>
              </w:rPr>
            </w:pPr>
            <w:r>
              <w:rPr>
                <w:rFonts w:ascii="Arial" w:cs="Arial" w:eastAsia="Arial" w:hAnsi="Arial"/>
                <w:sz w:val="17"/>
                <w:szCs w:val="17"/>
                <w:b w:val="1"/>
                <w:bCs w:val="1"/>
                <w:color w:val="auto"/>
                <w:w w:val="96"/>
              </w:rPr>
              <w:t>After the Offering</w:t>
            </w:r>
            <w:r>
              <w:rPr>
                <w:rFonts w:ascii="Arial" w:cs="Arial" w:eastAsia="Arial" w:hAnsi="Arial"/>
                <w:sz w:val="28"/>
                <w:szCs w:val="28"/>
                <w:b w:val="1"/>
                <w:bCs w:val="1"/>
                <w:color w:val="auto"/>
                <w:w w:val="96"/>
                <w:vertAlign w:val="superscript"/>
              </w:rPr>
              <w:t>(2)</w:t>
            </w:r>
          </w:p>
        </w:tc>
      </w:tr>
      <w:tr>
        <w:trPr>
          <w:trHeight w:val="216"/>
        </w:trPr>
        <w:tc>
          <w:tcPr>
            <w:tcW w:w="474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ACIL Luxco1 S.A.</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41,530,843</w:t>
            </w: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41,530,843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Assumes the selling shareholder sells all of its ordinary shares offered pursuant to this prospectus supplement.</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a total of 100,217,260 ordinary shares outstanding as of April 11, 2017.</w:t>
      </w:r>
    </w:p>
    <w:p>
      <w:pPr>
        <w:spacing w:after="0" w:line="252"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advised that following the restructuring that occurred in connection with the New Money Documents, Luxco 1 is the direct beneficial owner of the Pledged Shares. Luxco 1 is 100% owned by ABG Orphan Holdco S.à r.l., or Orphan Holdco, which in turn is 100% owned by Stichting Seville, or OrphanCo. OrphanCo and Orphan Holdco, through their ownership of Luxco 1, are indirect beneficial owners of the Pledged Shares. In connection with the restructuring, Luxco 1, OrphanCo and Orphan Holdco entered into a governance agreement with ACIL Luxco2, S.A., a subsidiary of ACIL, or Luxco 2, among others, in respect of the Pledged Shares. As a result of the provisions of the governance agreement, Abengoa and Luxco 2 may be deemed to beneficially own the Pledged Shares.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EXPENSES OF THE REGISTRATION</w:t>
      </w:r>
    </w:p>
    <w:p>
      <w:pPr>
        <w:spacing w:after="0" w:line="22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The expenses of this offering to be paid by us are estimated as set forth in the following table. We are not responsible for any other expenses, including underwriters’ discounts or selling commissions. With the exception of the SEC registration fee, the amounts set forth below are estimates.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Expense</w:t>
            </w:r>
          </w:p>
        </w:tc>
        <w:tc>
          <w:tcPr>
            <w:tcW w:w="5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r>
      <w:tr>
        <w:trPr>
          <w:trHeight w:val="28"/>
        </w:trPr>
        <w:tc>
          <w:tcPr>
            <w:tcW w:w="20" w:type="dxa"/>
            <w:vAlign w:val="bottom"/>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8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5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Printing expenses</w:t>
            </w: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5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5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7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55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333,001</w:t>
            </w:r>
          </w:p>
        </w:tc>
        <w:tc>
          <w:tcPr>
            <w:tcW w:w="100" w:type="dxa"/>
            <w:vAlign w:val="bottom"/>
          </w:tcPr>
          <w:p>
            <w:pPr>
              <w:spacing w:after="0"/>
              <w:rPr>
                <w:sz w:val="20"/>
                <w:szCs w:val="20"/>
                <w:color w:val="auto"/>
              </w:rPr>
            </w:pPr>
          </w:p>
        </w:tc>
      </w:tr>
      <w:tr>
        <w:trPr>
          <w:trHeight w:val="564"/>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5500" w:type="dxa"/>
            <w:vAlign w:val="bottom"/>
            <w:gridSpan w:val="2"/>
          </w:tcPr>
          <w:p>
            <w:pPr>
              <w:jc w:val="right"/>
              <w:ind w:right="4270"/>
              <w:spacing w:after="0"/>
              <w:rPr>
                <w:sz w:val="20"/>
                <w:szCs w:val="20"/>
                <w:color w:val="auto"/>
              </w:rPr>
            </w:pPr>
            <w:r>
              <w:rPr>
                <w:rFonts w:ascii="Arial" w:cs="Arial" w:eastAsia="Arial" w:hAnsi="Arial"/>
                <w:sz w:val="14"/>
                <w:szCs w:val="14"/>
                <w:color w:val="auto"/>
              </w:rPr>
              <w:t>S-16</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7"/>
          <w:szCs w:val="17"/>
          <w:b w:val="1"/>
          <w:bCs w:val="1"/>
          <w:color w:val="auto"/>
        </w:rPr>
        <w:t>41,530,843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1542415</wp:posOffset>
            </wp:positionV>
            <wp:extent cx="36277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1772920</wp:posOffset>
            </wp:positionH>
            <wp:positionV relativeFrom="paragraph">
              <wp:posOffset>333375</wp:posOffset>
            </wp:positionV>
            <wp:extent cx="2186940" cy="840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694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1052830</wp:posOffset>
            </wp:positionH>
            <wp:positionV relativeFrom="paragraph">
              <wp:posOffset>226695</wp:posOffset>
            </wp:positionV>
            <wp:extent cx="36277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April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340995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2019-12-07T23:02:55Z</dcterms:created>
  <dcterms:modified xsi:type="dcterms:W3CDTF">2019-12-07T23:02:55Z</dcterms:modified>
</cp:coreProperties>
</file>